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10"/>
          <w:tab w:val="left" w:pos="6510"/>
        </w:tabs>
        <w:jc w:val="center"/>
        <w:rPr>
          <w:rFonts w:ascii="仿宋_GB2312" w:eastAsia="仿宋_GB2312"/>
          <w:sz w:val="28"/>
          <w:szCs w:val="28"/>
        </w:rPr>
      </w:pPr>
    </w:p>
    <w:p>
      <w:pPr>
        <w:tabs>
          <w:tab w:val="left" w:pos="2310"/>
          <w:tab w:val="left" w:pos="6510"/>
        </w:tabs>
        <w:jc w:val="center"/>
        <w:rPr>
          <w:rFonts w:ascii="仿宋_GB2312" w:eastAsia="仿宋_GB2312"/>
          <w:sz w:val="28"/>
          <w:szCs w:val="28"/>
        </w:rPr>
      </w:pPr>
    </w:p>
    <w:p>
      <w:pPr>
        <w:tabs>
          <w:tab w:val="left" w:pos="2310"/>
          <w:tab w:val="left" w:pos="6510"/>
        </w:tabs>
        <w:jc w:val="center"/>
        <w:rPr>
          <w:rFonts w:ascii="仿宋_GB2312" w:eastAsia="仿宋_GB2312"/>
          <w:sz w:val="28"/>
          <w:szCs w:val="28"/>
        </w:rPr>
      </w:pPr>
    </w:p>
    <w:p>
      <w:pPr>
        <w:tabs>
          <w:tab w:val="left" w:pos="2310"/>
          <w:tab w:val="left" w:pos="6510"/>
        </w:tabs>
        <w:jc w:val="center"/>
        <w:rPr>
          <w:rFonts w:ascii="仿宋_GB2312" w:eastAsia="仿宋_GB2312"/>
          <w:sz w:val="28"/>
          <w:szCs w:val="28"/>
        </w:rPr>
      </w:pPr>
    </w:p>
    <w:p>
      <w:pPr>
        <w:tabs>
          <w:tab w:val="left" w:pos="2310"/>
          <w:tab w:val="left" w:pos="6510"/>
        </w:tabs>
        <w:jc w:val="center"/>
        <w:rPr>
          <w:rFonts w:hint="eastAsia" w:ascii="仿宋_GB2312" w:eastAsia="仿宋_GB2312"/>
          <w:sz w:val="28"/>
          <w:szCs w:val="28"/>
        </w:rPr>
      </w:pPr>
    </w:p>
    <w:p>
      <w:pPr>
        <w:snapToGrid w:val="0"/>
        <w:spacing w:line="560" w:lineRule="exact"/>
        <w:jc w:val="center"/>
        <w:rPr>
          <w:rFonts w:ascii="宋体" w:hAnsi="宋体"/>
          <w:bCs/>
          <w:sz w:val="36"/>
        </w:rPr>
      </w:pPr>
      <w:r>
        <w:rPr>
          <w:rFonts w:hint="eastAsia" w:ascii="宋体" w:hAnsi="宋体"/>
          <w:bCs/>
          <w:sz w:val="36"/>
        </w:rPr>
        <w:t>南通大学商学院（管理学院）本科生综合素质测评</w:t>
      </w:r>
    </w:p>
    <w:p>
      <w:pPr>
        <w:snapToGrid w:val="0"/>
        <w:spacing w:line="560" w:lineRule="exact"/>
        <w:jc w:val="center"/>
        <w:rPr>
          <w:rFonts w:hint="eastAsia" w:ascii="宋体" w:hAnsi="宋体"/>
          <w:bCs/>
          <w:sz w:val="36"/>
        </w:rPr>
      </w:pPr>
      <w:r>
        <w:rPr>
          <w:rFonts w:hint="eastAsia" w:ascii="宋体" w:hAnsi="宋体"/>
          <w:bCs/>
          <w:sz w:val="36"/>
        </w:rPr>
        <w:t>实施细则（2</w:t>
      </w:r>
      <w:r>
        <w:rPr>
          <w:rFonts w:ascii="宋体" w:hAnsi="宋体"/>
          <w:bCs/>
          <w:sz w:val="36"/>
        </w:rPr>
        <w:t>1</w:t>
      </w:r>
      <w:r>
        <w:rPr>
          <w:rFonts w:hint="eastAsia" w:ascii="宋体" w:hAnsi="宋体"/>
          <w:bCs/>
          <w:sz w:val="36"/>
        </w:rPr>
        <w:t>、2</w:t>
      </w:r>
      <w:r>
        <w:rPr>
          <w:rFonts w:ascii="宋体" w:hAnsi="宋体"/>
          <w:bCs/>
          <w:sz w:val="36"/>
        </w:rPr>
        <w:t>2</w:t>
      </w:r>
      <w:r>
        <w:rPr>
          <w:rFonts w:hint="eastAsia" w:ascii="宋体" w:hAnsi="宋体"/>
          <w:bCs/>
          <w:sz w:val="36"/>
        </w:rPr>
        <w:t>、2</w:t>
      </w:r>
      <w:r>
        <w:rPr>
          <w:rFonts w:ascii="宋体" w:hAnsi="宋体"/>
          <w:bCs/>
          <w:sz w:val="36"/>
        </w:rPr>
        <w:t>3</w:t>
      </w:r>
      <w:r>
        <w:rPr>
          <w:rFonts w:hint="eastAsia" w:ascii="宋体" w:hAnsi="宋体"/>
          <w:bCs/>
          <w:sz w:val="36"/>
        </w:rPr>
        <w:t>级适用）</w:t>
      </w:r>
    </w:p>
    <w:p>
      <w:pPr>
        <w:spacing w:line="440" w:lineRule="exact"/>
        <w:ind w:firstLine="675"/>
        <w:jc w:val="center"/>
        <w:rPr>
          <w:rFonts w:eastAsia="黑体"/>
          <w:b/>
          <w:w w:val="95"/>
          <w:sz w:val="30"/>
          <w:szCs w:val="30"/>
        </w:rPr>
      </w:pPr>
    </w:p>
    <w:p>
      <w:pPr>
        <w:ind w:firstLine="412" w:firstLineChars="200"/>
        <w:rPr>
          <w:rFonts w:hint="eastAsia" w:ascii="宋体" w:hAnsi="宋体" w:cs="宋体"/>
          <w:sz w:val="21"/>
          <w:szCs w:val="21"/>
        </w:rPr>
      </w:pPr>
      <w:r>
        <w:rPr>
          <w:rFonts w:hint="eastAsia" w:ascii="宋体" w:hAnsi="宋体" w:cs="宋体"/>
          <w:sz w:val="21"/>
          <w:szCs w:val="21"/>
        </w:rPr>
        <w:t>为全面贯彻党的教育方针，促进学生综合素质全面提高，加强对学生的科学管理和评价，培养德、智、体等全面发展的社会主义事业合格建设者和可靠接班人，依据《南通大学学生综合素质测评办法》的精神，结合学院实际，特制定本细则。</w:t>
      </w:r>
    </w:p>
    <w:p>
      <w:pPr>
        <w:ind w:firstLine="200"/>
        <w:rPr>
          <w:rFonts w:hint="eastAsia" w:ascii="宋体" w:hAnsi="宋体" w:cs="宋体"/>
          <w:b/>
          <w:kern w:val="0"/>
          <w:sz w:val="21"/>
          <w:szCs w:val="21"/>
        </w:rPr>
      </w:pPr>
      <w:r>
        <w:rPr>
          <w:rFonts w:hint="eastAsia" w:ascii="宋体" w:hAnsi="宋体" w:cs="宋体"/>
          <w:b/>
          <w:kern w:val="0"/>
          <w:sz w:val="21"/>
          <w:szCs w:val="21"/>
        </w:rPr>
        <w:t>一、学生素质综合测评的指标体系、分数及权重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701"/>
        <w:gridCol w:w="701"/>
        <w:gridCol w:w="701"/>
        <w:gridCol w:w="701"/>
        <w:gridCol w:w="701"/>
        <w:gridCol w:w="701"/>
        <w:gridCol w:w="943"/>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6" w:type="dxa"/>
            <w:gridSpan w:val="9"/>
            <w:noWrap w:val="0"/>
            <w:vAlign w:val="center"/>
          </w:tcPr>
          <w:p>
            <w:pPr>
              <w:ind w:firstLine="200"/>
              <w:rPr>
                <w:rFonts w:hint="eastAsia" w:ascii="宋体" w:hAnsi="宋体" w:cs="宋体"/>
                <w:sz w:val="21"/>
                <w:szCs w:val="21"/>
              </w:rPr>
            </w:pPr>
            <w:r>
              <w:rPr>
                <w:rFonts w:hint="eastAsia" w:ascii="宋体" w:hAnsi="宋体" w:cs="宋体"/>
                <w:sz w:val="21"/>
                <w:szCs w:val="21"/>
              </w:rPr>
              <w:t>学生素质综合测评分=德育分×15%+智育分×75%+体育分×10%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noWrap w:val="0"/>
            <w:vAlign w:val="center"/>
          </w:tcPr>
          <w:p>
            <w:pPr>
              <w:rPr>
                <w:rFonts w:hint="eastAsia" w:ascii="宋体" w:hAnsi="宋体" w:cs="宋体"/>
                <w:sz w:val="21"/>
                <w:szCs w:val="21"/>
              </w:rPr>
            </w:pPr>
            <w:r>
              <w:rPr>
                <w:rFonts w:hint="eastAsia" w:ascii="宋体" w:hAnsi="宋体" w:cs="宋体"/>
                <w:sz w:val="21"/>
                <w:szCs w:val="21"/>
              </w:rPr>
              <w:t>测评项目</w:t>
            </w:r>
          </w:p>
        </w:tc>
        <w:tc>
          <w:tcPr>
            <w:tcW w:w="3505" w:type="dxa"/>
            <w:gridSpan w:val="5"/>
            <w:noWrap w:val="0"/>
            <w:vAlign w:val="center"/>
          </w:tcPr>
          <w:p>
            <w:pPr>
              <w:ind w:firstLine="200"/>
              <w:jc w:val="center"/>
              <w:rPr>
                <w:rFonts w:hint="eastAsia" w:ascii="宋体" w:hAnsi="宋体" w:cs="宋体"/>
                <w:sz w:val="21"/>
                <w:szCs w:val="21"/>
              </w:rPr>
            </w:pPr>
            <w:r>
              <w:rPr>
                <w:rFonts w:hint="eastAsia" w:ascii="宋体" w:hAnsi="宋体" w:cs="宋体"/>
                <w:sz w:val="21"/>
                <w:szCs w:val="21"/>
              </w:rPr>
              <w:t>德育</w:t>
            </w:r>
          </w:p>
        </w:tc>
        <w:tc>
          <w:tcPr>
            <w:tcW w:w="701" w:type="dxa"/>
            <w:noWrap w:val="0"/>
            <w:vAlign w:val="center"/>
          </w:tcPr>
          <w:p>
            <w:pPr>
              <w:rPr>
                <w:rFonts w:hint="eastAsia" w:ascii="宋体" w:hAnsi="宋体" w:cs="宋体"/>
                <w:sz w:val="21"/>
                <w:szCs w:val="21"/>
              </w:rPr>
            </w:pPr>
            <w:r>
              <w:rPr>
                <w:rFonts w:hint="eastAsia" w:ascii="宋体" w:hAnsi="宋体" w:cs="宋体"/>
                <w:sz w:val="21"/>
                <w:szCs w:val="21"/>
              </w:rPr>
              <w:t>智育</w:t>
            </w:r>
          </w:p>
        </w:tc>
        <w:tc>
          <w:tcPr>
            <w:tcW w:w="3378" w:type="dxa"/>
            <w:gridSpan w:val="2"/>
            <w:noWrap w:val="0"/>
            <w:vAlign w:val="center"/>
          </w:tcPr>
          <w:p>
            <w:pPr>
              <w:ind w:firstLine="200"/>
              <w:jc w:val="center"/>
              <w:rPr>
                <w:rFonts w:hint="eastAsia" w:ascii="宋体" w:hAnsi="宋体" w:cs="宋体"/>
                <w:sz w:val="21"/>
                <w:szCs w:val="21"/>
              </w:rPr>
            </w:pPr>
            <w:r>
              <w:rPr>
                <w:rFonts w:hint="eastAsia" w:ascii="宋体" w:hAnsi="宋体" w:cs="宋体"/>
                <w:sz w:val="21"/>
                <w:szCs w:val="21"/>
              </w:rPr>
              <w:t>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noWrap w:val="0"/>
            <w:vAlign w:val="center"/>
          </w:tcPr>
          <w:p>
            <w:pPr>
              <w:rPr>
                <w:rFonts w:hint="eastAsia" w:ascii="宋体" w:hAnsi="宋体" w:cs="宋体"/>
                <w:sz w:val="21"/>
                <w:szCs w:val="21"/>
              </w:rPr>
            </w:pPr>
            <w:r>
              <w:rPr>
                <w:rFonts w:hint="eastAsia" w:ascii="宋体" w:hAnsi="宋体" w:cs="宋体"/>
                <w:sz w:val="21"/>
                <w:szCs w:val="21"/>
              </w:rPr>
              <w:t>测评内容</w:t>
            </w:r>
          </w:p>
        </w:tc>
        <w:tc>
          <w:tcPr>
            <w:tcW w:w="701" w:type="dxa"/>
            <w:noWrap w:val="0"/>
            <w:vAlign w:val="center"/>
          </w:tcPr>
          <w:p>
            <w:pPr>
              <w:jc w:val="center"/>
              <w:rPr>
                <w:rFonts w:hint="eastAsia" w:ascii="宋体" w:hAnsi="宋体" w:cs="宋体"/>
                <w:sz w:val="21"/>
                <w:szCs w:val="21"/>
              </w:rPr>
            </w:pPr>
            <w:r>
              <w:rPr>
                <w:rFonts w:hint="eastAsia" w:ascii="宋体" w:hAnsi="宋体" w:cs="宋体"/>
                <w:sz w:val="21"/>
                <w:szCs w:val="21"/>
              </w:rPr>
              <w:t>政</w:t>
            </w:r>
          </w:p>
          <w:p>
            <w:pPr>
              <w:jc w:val="center"/>
              <w:rPr>
                <w:rFonts w:hint="eastAsia" w:ascii="宋体" w:hAnsi="宋体" w:cs="宋体"/>
                <w:sz w:val="21"/>
                <w:szCs w:val="21"/>
              </w:rPr>
            </w:pPr>
            <w:r>
              <w:rPr>
                <w:rFonts w:hint="eastAsia" w:ascii="宋体" w:hAnsi="宋体" w:cs="宋体"/>
                <w:sz w:val="21"/>
                <w:szCs w:val="21"/>
              </w:rPr>
              <w:t>治</w:t>
            </w:r>
          </w:p>
          <w:p>
            <w:pPr>
              <w:jc w:val="center"/>
              <w:rPr>
                <w:rFonts w:hint="eastAsia" w:ascii="宋体" w:hAnsi="宋体" w:cs="宋体"/>
                <w:sz w:val="21"/>
                <w:szCs w:val="21"/>
              </w:rPr>
            </w:pPr>
            <w:r>
              <w:rPr>
                <w:rFonts w:hint="eastAsia" w:ascii="宋体" w:hAnsi="宋体" w:cs="宋体"/>
                <w:sz w:val="21"/>
                <w:szCs w:val="21"/>
              </w:rPr>
              <w:t>表</w:t>
            </w:r>
          </w:p>
          <w:p>
            <w:pPr>
              <w:jc w:val="center"/>
              <w:rPr>
                <w:rFonts w:hint="eastAsia" w:ascii="宋体" w:hAnsi="宋体" w:cs="宋体"/>
                <w:sz w:val="21"/>
                <w:szCs w:val="21"/>
              </w:rPr>
            </w:pPr>
            <w:r>
              <w:rPr>
                <w:rFonts w:hint="eastAsia" w:ascii="宋体" w:hAnsi="宋体" w:cs="宋体"/>
                <w:sz w:val="21"/>
                <w:szCs w:val="21"/>
              </w:rPr>
              <w:t>现</w:t>
            </w:r>
          </w:p>
        </w:tc>
        <w:tc>
          <w:tcPr>
            <w:tcW w:w="701" w:type="dxa"/>
            <w:noWrap w:val="0"/>
            <w:vAlign w:val="center"/>
          </w:tcPr>
          <w:p>
            <w:pPr>
              <w:jc w:val="center"/>
              <w:rPr>
                <w:rFonts w:hint="eastAsia" w:ascii="宋体" w:hAnsi="宋体" w:cs="宋体"/>
                <w:sz w:val="21"/>
                <w:szCs w:val="21"/>
              </w:rPr>
            </w:pPr>
            <w:r>
              <w:rPr>
                <w:rFonts w:hint="eastAsia" w:ascii="宋体" w:hAnsi="宋体" w:cs="宋体"/>
                <w:sz w:val="21"/>
                <w:szCs w:val="21"/>
              </w:rPr>
              <w:t>道      德</w:t>
            </w:r>
          </w:p>
          <w:p>
            <w:pPr>
              <w:jc w:val="center"/>
              <w:rPr>
                <w:rFonts w:hint="eastAsia" w:ascii="宋体" w:hAnsi="宋体" w:cs="宋体"/>
                <w:sz w:val="21"/>
                <w:szCs w:val="21"/>
              </w:rPr>
            </w:pPr>
            <w:r>
              <w:rPr>
                <w:rFonts w:hint="eastAsia" w:ascii="宋体" w:hAnsi="宋体" w:cs="宋体"/>
                <w:sz w:val="21"/>
                <w:szCs w:val="21"/>
              </w:rPr>
              <w:t>修</w:t>
            </w:r>
          </w:p>
          <w:p>
            <w:pPr>
              <w:jc w:val="center"/>
              <w:rPr>
                <w:rFonts w:hint="eastAsia" w:ascii="宋体" w:hAnsi="宋体" w:cs="宋体"/>
                <w:sz w:val="21"/>
                <w:szCs w:val="21"/>
              </w:rPr>
            </w:pPr>
            <w:r>
              <w:rPr>
                <w:rFonts w:hint="eastAsia" w:ascii="宋体" w:hAnsi="宋体" w:cs="宋体"/>
                <w:sz w:val="21"/>
                <w:szCs w:val="21"/>
              </w:rPr>
              <w:t>养</w:t>
            </w:r>
          </w:p>
        </w:tc>
        <w:tc>
          <w:tcPr>
            <w:tcW w:w="701" w:type="dxa"/>
            <w:noWrap w:val="0"/>
            <w:vAlign w:val="center"/>
          </w:tcPr>
          <w:p>
            <w:pPr>
              <w:jc w:val="center"/>
              <w:rPr>
                <w:rFonts w:hint="eastAsia" w:ascii="宋体" w:hAnsi="宋体" w:cs="宋体"/>
                <w:sz w:val="21"/>
                <w:szCs w:val="21"/>
              </w:rPr>
            </w:pPr>
            <w:r>
              <w:rPr>
                <w:rFonts w:hint="eastAsia" w:ascii="宋体" w:hAnsi="宋体" w:cs="宋体"/>
                <w:sz w:val="21"/>
                <w:szCs w:val="21"/>
              </w:rPr>
              <w:t>学</w:t>
            </w:r>
          </w:p>
          <w:p>
            <w:pPr>
              <w:jc w:val="center"/>
              <w:rPr>
                <w:rFonts w:hint="eastAsia" w:ascii="宋体" w:hAnsi="宋体" w:cs="宋体"/>
                <w:sz w:val="21"/>
                <w:szCs w:val="21"/>
              </w:rPr>
            </w:pPr>
            <w:r>
              <w:rPr>
                <w:rFonts w:hint="eastAsia" w:ascii="宋体" w:hAnsi="宋体" w:cs="宋体"/>
                <w:sz w:val="21"/>
                <w:szCs w:val="21"/>
              </w:rPr>
              <w:t>习</w:t>
            </w:r>
          </w:p>
          <w:p>
            <w:pPr>
              <w:jc w:val="center"/>
              <w:rPr>
                <w:rFonts w:hint="eastAsia" w:ascii="宋体" w:hAnsi="宋体" w:cs="宋体"/>
                <w:sz w:val="21"/>
                <w:szCs w:val="21"/>
              </w:rPr>
            </w:pPr>
            <w:r>
              <w:rPr>
                <w:rFonts w:hint="eastAsia" w:ascii="宋体" w:hAnsi="宋体" w:cs="宋体"/>
                <w:sz w:val="21"/>
                <w:szCs w:val="21"/>
              </w:rPr>
              <w:t>态</w:t>
            </w:r>
          </w:p>
          <w:p>
            <w:pPr>
              <w:jc w:val="center"/>
              <w:rPr>
                <w:rFonts w:hint="eastAsia" w:ascii="宋体" w:hAnsi="宋体" w:cs="宋体"/>
                <w:sz w:val="21"/>
                <w:szCs w:val="21"/>
              </w:rPr>
            </w:pPr>
            <w:r>
              <w:rPr>
                <w:rFonts w:hint="eastAsia" w:ascii="宋体" w:hAnsi="宋体" w:cs="宋体"/>
                <w:sz w:val="21"/>
                <w:szCs w:val="21"/>
              </w:rPr>
              <w:t>度</w:t>
            </w:r>
          </w:p>
        </w:tc>
        <w:tc>
          <w:tcPr>
            <w:tcW w:w="701" w:type="dxa"/>
            <w:noWrap w:val="0"/>
            <w:vAlign w:val="center"/>
          </w:tcPr>
          <w:p>
            <w:pPr>
              <w:jc w:val="center"/>
              <w:rPr>
                <w:rFonts w:hint="eastAsia" w:ascii="宋体" w:hAnsi="宋体" w:cs="宋体"/>
                <w:sz w:val="21"/>
                <w:szCs w:val="21"/>
              </w:rPr>
            </w:pPr>
            <w:r>
              <w:rPr>
                <w:rFonts w:hint="eastAsia" w:ascii="宋体" w:hAnsi="宋体" w:cs="宋体"/>
                <w:sz w:val="21"/>
                <w:szCs w:val="21"/>
              </w:rPr>
              <w:t>卫</w:t>
            </w:r>
          </w:p>
          <w:p>
            <w:pPr>
              <w:jc w:val="center"/>
              <w:rPr>
                <w:rFonts w:hint="eastAsia" w:ascii="宋体" w:hAnsi="宋体" w:cs="宋体"/>
                <w:sz w:val="21"/>
                <w:szCs w:val="21"/>
              </w:rPr>
            </w:pPr>
            <w:r>
              <w:rPr>
                <w:rFonts w:hint="eastAsia" w:ascii="宋体" w:hAnsi="宋体" w:cs="宋体"/>
                <w:sz w:val="21"/>
                <w:szCs w:val="21"/>
              </w:rPr>
              <w:t>生</w:t>
            </w:r>
          </w:p>
          <w:p>
            <w:pPr>
              <w:jc w:val="center"/>
              <w:rPr>
                <w:rFonts w:hint="eastAsia" w:ascii="宋体" w:hAnsi="宋体" w:cs="宋体"/>
                <w:sz w:val="21"/>
                <w:szCs w:val="21"/>
              </w:rPr>
            </w:pPr>
            <w:r>
              <w:rPr>
                <w:rFonts w:hint="eastAsia" w:ascii="宋体" w:hAnsi="宋体" w:cs="宋体"/>
                <w:sz w:val="21"/>
                <w:szCs w:val="21"/>
              </w:rPr>
              <w:t>习</w:t>
            </w:r>
          </w:p>
          <w:p>
            <w:pPr>
              <w:jc w:val="center"/>
              <w:rPr>
                <w:rFonts w:hint="eastAsia" w:ascii="宋体" w:hAnsi="宋体" w:cs="宋体"/>
                <w:sz w:val="21"/>
                <w:szCs w:val="21"/>
              </w:rPr>
            </w:pPr>
            <w:r>
              <w:rPr>
                <w:rFonts w:hint="eastAsia" w:ascii="宋体" w:hAnsi="宋体" w:cs="宋体"/>
                <w:sz w:val="21"/>
                <w:szCs w:val="21"/>
              </w:rPr>
              <w:t>惯</w:t>
            </w:r>
          </w:p>
        </w:tc>
        <w:tc>
          <w:tcPr>
            <w:tcW w:w="701" w:type="dxa"/>
            <w:noWrap w:val="0"/>
            <w:vAlign w:val="center"/>
          </w:tcPr>
          <w:p>
            <w:pPr>
              <w:jc w:val="center"/>
              <w:rPr>
                <w:rFonts w:hint="eastAsia" w:ascii="宋体" w:hAnsi="宋体" w:cs="宋体"/>
                <w:sz w:val="21"/>
                <w:szCs w:val="21"/>
              </w:rPr>
            </w:pPr>
            <w:r>
              <w:rPr>
                <w:rFonts w:hint="eastAsia" w:ascii="宋体" w:hAnsi="宋体" w:cs="宋体"/>
                <w:sz w:val="21"/>
                <w:szCs w:val="21"/>
              </w:rPr>
              <w:t>遵</w:t>
            </w:r>
          </w:p>
          <w:p>
            <w:pPr>
              <w:jc w:val="center"/>
              <w:rPr>
                <w:rFonts w:hint="eastAsia" w:ascii="宋体" w:hAnsi="宋体" w:cs="宋体"/>
                <w:sz w:val="21"/>
                <w:szCs w:val="21"/>
              </w:rPr>
            </w:pPr>
            <w:r>
              <w:rPr>
                <w:rFonts w:hint="eastAsia" w:ascii="宋体" w:hAnsi="宋体" w:cs="宋体"/>
                <w:sz w:val="21"/>
                <w:szCs w:val="21"/>
              </w:rPr>
              <w:t>纪</w:t>
            </w:r>
          </w:p>
          <w:p>
            <w:pPr>
              <w:jc w:val="center"/>
              <w:rPr>
                <w:rFonts w:hint="eastAsia" w:ascii="宋体" w:hAnsi="宋体" w:cs="宋体"/>
                <w:sz w:val="21"/>
                <w:szCs w:val="21"/>
              </w:rPr>
            </w:pPr>
            <w:r>
              <w:rPr>
                <w:rFonts w:hint="eastAsia" w:ascii="宋体" w:hAnsi="宋体" w:cs="宋体"/>
                <w:sz w:val="21"/>
                <w:szCs w:val="21"/>
              </w:rPr>
              <w:t>守</w:t>
            </w:r>
          </w:p>
          <w:p>
            <w:pPr>
              <w:jc w:val="center"/>
              <w:rPr>
                <w:rFonts w:hint="eastAsia" w:ascii="宋体" w:hAnsi="宋体" w:cs="宋体"/>
                <w:sz w:val="21"/>
                <w:szCs w:val="21"/>
              </w:rPr>
            </w:pPr>
            <w:r>
              <w:rPr>
                <w:rFonts w:hint="eastAsia" w:ascii="宋体" w:hAnsi="宋体" w:cs="宋体"/>
                <w:sz w:val="21"/>
                <w:szCs w:val="21"/>
              </w:rPr>
              <w:t>法</w:t>
            </w:r>
          </w:p>
        </w:tc>
        <w:tc>
          <w:tcPr>
            <w:tcW w:w="701" w:type="dxa"/>
            <w:noWrap w:val="0"/>
            <w:vAlign w:val="center"/>
          </w:tcPr>
          <w:p>
            <w:pPr>
              <w:jc w:val="center"/>
              <w:rPr>
                <w:rFonts w:hint="eastAsia" w:ascii="宋体" w:hAnsi="宋体" w:cs="宋体"/>
                <w:sz w:val="21"/>
                <w:szCs w:val="21"/>
              </w:rPr>
            </w:pPr>
            <w:r>
              <w:rPr>
                <w:rFonts w:hint="eastAsia" w:ascii="宋体" w:hAnsi="宋体" w:cs="宋体"/>
                <w:sz w:val="21"/>
                <w:szCs w:val="21"/>
              </w:rPr>
              <w:t>学</w:t>
            </w:r>
          </w:p>
          <w:p>
            <w:pPr>
              <w:jc w:val="center"/>
              <w:rPr>
                <w:rFonts w:hint="eastAsia" w:ascii="宋体" w:hAnsi="宋体" w:cs="宋体"/>
                <w:sz w:val="21"/>
                <w:szCs w:val="21"/>
              </w:rPr>
            </w:pPr>
            <w:r>
              <w:rPr>
                <w:rFonts w:hint="eastAsia" w:ascii="宋体" w:hAnsi="宋体" w:cs="宋体"/>
                <w:sz w:val="21"/>
                <w:szCs w:val="21"/>
              </w:rPr>
              <w:t>习</w:t>
            </w:r>
          </w:p>
          <w:p>
            <w:pPr>
              <w:jc w:val="center"/>
              <w:rPr>
                <w:rFonts w:hint="eastAsia" w:ascii="宋体" w:hAnsi="宋体" w:cs="宋体"/>
                <w:sz w:val="21"/>
                <w:szCs w:val="21"/>
              </w:rPr>
            </w:pPr>
            <w:r>
              <w:rPr>
                <w:rFonts w:hint="eastAsia" w:ascii="宋体" w:hAnsi="宋体" w:cs="宋体"/>
                <w:sz w:val="21"/>
                <w:szCs w:val="21"/>
              </w:rPr>
              <w:t>成</w:t>
            </w:r>
          </w:p>
          <w:p>
            <w:pPr>
              <w:jc w:val="center"/>
              <w:rPr>
                <w:rFonts w:hint="eastAsia" w:ascii="宋体" w:hAnsi="宋体" w:cs="宋体"/>
                <w:sz w:val="21"/>
                <w:szCs w:val="21"/>
              </w:rPr>
            </w:pPr>
            <w:r>
              <w:rPr>
                <w:rFonts w:hint="eastAsia" w:ascii="宋体" w:hAnsi="宋体" w:cs="宋体"/>
                <w:sz w:val="21"/>
                <w:szCs w:val="21"/>
              </w:rPr>
              <w:t>绩</w:t>
            </w:r>
          </w:p>
        </w:tc>
        <w:tc>
          <w:tcPr>
            <w:tcW w:w="943" w:type="dxa"/>
            <w:noWrap w:val="0"/>
            <w:vAlign w:val="center"/>
          </w:tcPr>
          <w:p>
            <w:pPr>
              <w:rPr>
                <w:rFonts w:hint="eastAsia" w:ascii="宋体" w:hAnsi="宋体" w:cs="宋体"/>
                <w:sz w:val="21"/>
                <w:szCs w:val="21"/>
              </w:rPr>
            </w:pPr>
            <w:r>
              <w:rPr>
                <w:rFonts w:hint="eastAsia" w:ascii="宋体" w:hAnsi="宋体" w:cs="宋体"/>
                <w:sz w:val="21"/>
                <w:szCs w:val="21"/>
              </w:rPr>
              <w:t>体育课</w:t>
            </w:r>
          </w:p>
          <w:p>
            <w:pPr>
              <w:rPr>
                <w:rFonts w:hint="eastAsia" w:ascii="宋体" w:hAnsi="宋体" w:cs="宋体"/>
                <w:sz w:val="21"/>
                <w:szCs w:val="21"/>
              </w:rPr>
            </w:pPr>
            <w:r>
              <w:rPr>
                <w:rFonts w:hint="eastAsia" w:ascii="宋体" w:hAnsi="宋体" w:cs="宋体"/>
                <w:sz w:val="21"/>
                <w:szCs w:val="21"/>
              </w:rPr>
              <w:t>成  绩</w:t>
            </w:r>
          </w:p>
        </w:tc>
        <w:tc>
          <w:tcPr>
            <w:tcW w:w="2435"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体质健康测试标准</w:t>
            </w:r>
          </w:p>
          <w:p>
            <w:pPr>
              <w:ind w:firstLine="200"/>
              <w:jc w:val="center"/>
              <w:rPr>
                <w:rFonts w:hint="eastAsia" w:ascii="宋体" w:hAnsi="宋体" w:cs="宋体"/>
                <w:sz w:val="21"/>
                <w:szCs w:val="21"/>
              </w:rPr>
            </w:pPr>
            <w:r>
              <w:rPr>
                <w:rFonts w:hint="eastAsia" w:ascii="宋体" w:hAnsi="宋体" w:cs="宋体"/>
                <w:sz w:val="21"/>
                <w:szCs w:val="21"/>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02" w:type="dxa"/>
            <w:noWrap w:val="0"/>
            <w:vAlign w:val="center"/>
          </w:tcPr>
          <w:p>
            <w:pPr>
              <w:ind w:firstLine="200"/>
              <w:rPr>
                <w:rFonts w:hint="eastAsia" w:ascii="宋体" w:hAnsi="宋体" w:cs="宋体"/>
                <w:sz w:val="21"/>
                <w:szCs w:val="21"/>
              </w:rPr>
            </w:pPr>
            <w:r>
              <w:rPr>
                <w:rFonts w:hint="eastAsia" w:ascii="宋体" w:hAnsi="宋体" w:cs="宋体"/>
                <w:sz w:val="21"/>
                <w:szCs w:val="21"/>
              </w:rPr>
              <w:t>满   分</w:t>
            </w:r>
          </w:p>
        </w:tc>
        <w:tc>
          <w:tcPr>
            <w:tcW w:w="701"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20</w:t>
            </w:r>
          </w:p>
        </w:tc>
        <w:tc>
          <w:tcPr>
            <w:tcW w:w="701"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20</w:t>
            </w:r>
          </w:p>
        </w:tc>
        <w:tc>
          <w:tcPr>
            <w:tcW w:w="701"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20</w:t>
            </w:r>
          </w:p>
        </w:tc>
        <w:tc>
          <w:tcPr>
            <w:tcW w:w="701"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20</w:t>
            </w:r>
          </w:p>
        </w:tc>
        <w:tc>
          <w:tcPr>
            <w:tcW w:w="701"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20</w:t>
            </w:r>
          </w:p>
        </w:tc>
        <w:tc>
          <w:tcPr>
            <w:tcW w:w="701" w:type="dxa"/>
            <w:noWrap w:val="0"/>
            <w:vAlign w:val="center"/>
          </w:tcPr>
          <w:p>
            <w:pPr>
              <w:rPr>
                <w:rFonts w:hint="eastAsia" w:ascii="宋体" w:hAnsi="宋体" w:cs="宋体"/>
                <w:sz w:val="21"/>
                <w:szCs w:val="21"/>
              </w:rPr>
            </w:pPr>
            <w:r>
              <w:rPr>
                <w:rFonts w:hint="eastAsia" w:ascii="宋体" w:hAnsi="宋体" w:cs="宋体"/>
                <w:sz w:val="21"/>
                <w:szCs w:val="21"/>
              </w:rPr>
              <w:t>100</w:t>
            </w:r>
          </w:p>
        </w:tc>
        <w:tc>
          <w:tcPr>
            <w:tcW w:w="943" w:type="dxa"/>
            <w:noWrap w:val="0"/>
            <w:vAlign w:val="center"/>
          </w:tcPr>
          <w:p>
            <w:pPr>
              <w:jc w:val="center"/>
              <w:rPr>
                <w:rFonts w:hint="eastAsia" w:ascii="宋体" w:hAnsi="宋体" w:cs="宋体"/>
                <w:sz w:val="21"/>
                <w:szCs w:val="21"/>
              </w:rPr>
            </w:pPr>
            <w:r>
              <w:rPr>
                <w:rFonts w:hint="eastAsia" w:ascii="宋体" w:hAnsi="宋体" w:cs="宋体"/>
                <w:sz w:val="21"/>
                <w:szCs w:val="21"/>
              </w:rPr>
              <w:t>50</w:t>
            </w:r>
          </w:p>
        </w:tc>
        <w:tc>
          <w:tcPr>
            <w:tcW w:w="2435"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50</w:t>
            </w:r>
          </w:p>
        </w:tc>
      </w:tr>
    </w:tbl>
    <w:p>
      <w:pPr>
        <w:ind w:firstLine="200"/>
        <w:rPr>
          <w:rFonts w:ascii="宋体" w:hAnsi="宋体" w:cs="宋体"/>
          <w:b/>
          <w:kern w:val="0"/>
          <w:sz w:val="21"/>
          <w:szCs w:val="21"/>
        </w:rPr>
      </w:pPr>
      <w:r>
        <w:rPr>
          <w:rFonts w:hint="eastAsia" w:ascii="宋体" w:hAnsi="宋体" w:cs="宋体"/>
          <w:b/>
          <w:kern w:val="0"/>
          <w:sz w:val="21"/>
          <w:szCs w:val="21"/>
        </w:rPr>
        <w:t>二、操作方法</w:t>
      </w:r>
    </w:p>
    <w:p>
      <w:pPr>
        <w:ind w:firstLine="412" w:firstLineChars="200"/>
        <w:rPr>
          <w:rFonts w:hint="eastAsia" w:ascii="宋体" w:hAnsi="宋体" w:cs="宋体"/>
          <w:b/>
          <w:kern w:val="0"/>
          <w:sz w:val="21"/>
          <w:szCs w:val="21"/>
        </w:rPr>
      </w:pPr>
      <w:r>
        <w:rPr>
          <w:rFonts w:hint="eastAsia" w:ascii="宋体" w:hAnsi="宋体" w:cs="宋体"/>
          <w:sz w:val="21"/>
          <w:szCs w:val="21"/>
        </w:rPr>
        <w:t xml:space="preserve">1、测评工作每学年进行一次，一般在次学年开学初，以专业年级为单位进行。  </w:t>
      </w:r>
    </w:p>
    <w:p>
      <w:pPr>
        <w:ind w:firstLine="412" w:firstLineChars="200"/>
        <w:rPr>
          <w:rFonts w:hint="eastAsia" w:ascii="宋体" w:hAnsi="宋体" w:cs="宋体"/>
          <w:sz w:val="21"/>
          <w:szCs w:val="21"/>
        </w:rPr>
      </w:pPr>
      <w:r>
        <w:rPr>
          <w:rFonts w:hint="eastAsia" w:ascii="宋体" w:hAnsi="宋体" w:cs="宋体"/>
          <w:sz w:val="21"/>
          <w:szCs w:val="21"/>
        </w:rPr>
        <w:t xml:space="preserve">2、测评工作由学院统一部署，各班级具体负责实施。 </w:t>
      </w:r>
    </w:p>
    <w:p>
      <w:pPr>
        <w:ind w:firstLine="412" w:firstLineChars="200"/>
        <w:rPr>
          <w:rFonts w:hint="eastAsia" w:ascii="宋体" w:hAnsi="宋体" w:cs="宋体"/>
          <w:sz w:val="21"/>
          <w:szCs w:val="21"/>
        </w:rPr>
      </w:pPr>
      <w:r>
        <w:rPr>
          <w:rFonts w:hint="eastAsia" w:ascii="宋体" w:hAnsi="宋体" w:cs="宋体"/>
          <w:sz w:val="21"/>
          <w:szCs w:val="21"/>
        </w:rPr>
        <w:t>3、各班成立测评小组，成员由全班同学民主推荐产生，人数为班级人数25%，测评小组中学生干部比例不得超过50%，班主任为小组组长，参与并指导测评全过程。</w:t>
      </w:r>
    </w:p>
    <w:p>
      <w:pPr>
        <w:ind w:firstLine="412" w:firstLineChars="200"/>
        <w:rPr>
          <w:rFonts w:hint="eastAsia" w:ascii="宋体" w:hAnsi="宋体" w:cs="宋体"/>
          <w:sz w:val="21"/>
          <w:szCs w:val="21"/>
        </w:rPr>
      </w:pPr>
      <w:r>
        <w:rPr>
          <w:rFonts w:hint="eastAsia" w:ascii="宋体" w:hAnsi="宋体" w:cs="宋体"/>
          <w:sz w:val="21"/>
          <w:szCs w:val="21"/>
        </w:rPr>
        <w:t>4、每位同学对照测评指标，实事求是地自我测评，将奖惩明细材料递交测评小组，同时要求提供获奖证书原件，</w:t>
      </w:r>
      <w:r>
        <w:rPr>
          <w:rFonts w:hint="eastAsia" w:ascii="宋体" w:hAnsi="宋体" w:cs="宋体"/>
          <w:b/>
          <w:sz w:val="21"/>
          <w:szCs w:val="21"/>
        </w:rPr>
        <w:t>测评学年受到处分以及有违纪情况的同学需如实填写上报，否则将根据加减分细则的相应规定加倍减分</w:t>
      </w:r>
      <w:r>
        <w:rPr>
          <w:rFonts w:hint="eastAsia" w:ascii="宋体" w:hAnsi="宋体" w:cs="宋体"/>
          <w:sz w:val="21"/>
          <w:szCs w:val="21"/>
        </w:rPr>
        <w:t>。若同一个项目、论文等先后参加校级及以上同类比赛均获奖，则只就高加分，而不累计加分。</w:t>
      </w:r>
    </w:p>
    <w:p>
      <w:pPr>
        <w:ind w:firstLine="412" w:firstLineChars="200"/>
        <w:rPr>
          <w:rFonts w:hint="eastAsia" w:ascii="宋体" w:hAnsi="宋体" w:cs="宋体"/>
          <w:sz w:val="21"/>
          <w:szCs w:val="21"/>
        </w:rPr>
      </w:pPr>
      <w:r>
        <w:rPr>
          <w:rFonts w:hint="eastAsia" w:ascii="宋体" w:hAnsi="宋体" w:cs="宋体"/>
          <w:sz w:val="21"/>
          <w:szCs w:val="21"/>
        </w:rPr>
        <w:t>5、测评小组坚持公平、公正、公开的原则，对每一位同学集体评议，对加减分项目的依据，要仔细核实并记录。评议结果及各项目加减分原因向全班公布，测评结果必须本人签字确认，接受全体测评学生监督。</w:t>
      </w:r>
    </w:p>
    <w:p>
      <w:pPr>
        <w:ind w:firstLine="412" w:firstLineChars="200"/>
        <w:rPr>
          <w:rFonts w:hint="eastAsia" w:ascii="宋体" w:hAnsi="宋体" w:cs="宋体"/>
          <w:sz w:val="21"/>
          <w:szCs w:val="21"/>
        </w:rPr>
      </w:pPr>
      <w:r>
        <w:rPr>
          <w:rFonts w:hint="eastAsia" w:ascii="宋体" w:hAnsi="宋体" w:cs="宋体"/>
          <w:sz w:val="21"/>
          <w:szCs w:val="21"/>
        </w:rPr>
        <w:t>6、学生素质综合测评成绩作为评定奖学金和荣誉称号等的重要依据。</w:t>
      </w:r>
    </w:p>
    <w:p>
      <w:pPr>
        <w:ind w:firstLine="412" w:firstLineChars="200"/>
        <w:rPr>
          <w:rFonts w:hint="eastAsia" w:ascii="宋体" w:hAnsi="宋体" w:cs="宋体"/>
          <w:sz w:val="21"/>
          <w:szCs w:val="21"/>
        </w:rPr>
      </w:pPr>
      <w:r>
        <w:rPr>
          <w:rFonts w:hint="eastAsia" w:ascii="宋体" w:hAnsi="宋体" w:cs="宋体"/>
          <w:sz w:val="21"/>
          <w:szCs w:val="21"/>
        </w:rPr>
        <w:t>7、有不及格科目的学生可参加测评，但不享受奖学金，学习成绩按照原始成绩计算。</w:t>
      </w:r>
    </w:p>
    <w:p>
      <w:pPr>
        <w:ind w:firstLine="412" w:firstLineChars="200"/>
        <w:rPr>
          <w:rFonts w:hint="eastAsia" w:ascii="宋体" w:hAnsi="宋体" w:cs="宋体"/>
          <w:sz w:val="21"/>
          <w:szCs w:val="21"/>
        </w:rPr>
      </w:pPr>
      <w:r>
        <w:rPr>
          <w:rFonts w:hint="eastAsia" w:ascii="宋体" w:hAnsi="宋体" w:cs="宋体"/>
          <w:sz w:val="21"/>
          <w:szCs w:val="21"/>
        </w:rPr>
        <w:t>8、关于转专业学生测评说明：（1）转专业学生如果在现专业学习不满一年，则按测评学年所有科目成绩参与计算排名，但不参与奖学金评定；如果院内转专业，原专业和现专业所学科目完全相同，则正常参与奖学金评定；（2）转专业已经满一年的学生，按照本专业所学科目正常参与奖学金评定；（3）在原专业学习满一年的学生，仍参加原专业的奖学金评定；（4）转专业学生先修课程成绩不计入测评学年智育分，先修课程按原始成绩计入正常开设学年，先修课程成绩不及格参与测评但不参与奖学金评定。</w:t>
      </w:r>
    </w:p>
    <w:p>
      <w:pPr>
        <w:ind w:firstLine="402" w:firstLineChars="195"/>
        <w:rPr>
          <w:rFonts w:hint="eastAsia" w:ascii="宋体" w:hAnsi="宋体" w:cs="宋体"/>
          <w:b/>
          <w:kern w:val="0"/>
          <w:sz w:val="21"/>
          <w:szCs w:val="21"/>
        </w:rPr>
      </w:pPr>
      <w:r>
        <w:rPr>
          <w:rFonts w:hint="eastAsia" w:ascii="宋体" w:hAnsi="宋体" w:cs="宋体"/>
          <w:b/>
          <w:kern w:val="0"/>
          <w:sz w:val="21"/>
          <w:szCs w:val="21"/>
        </w:rPr>
        <w:t>三、评分标准</w:t>
      </w:r>
    </w:p>
    <w:p>
      <w:pPr>
        <w:ind w:firstLine="402" w:firstLineChars="195"/>
        <w:rPr>
          <w:rFonts w:hint="eastAsia" w:ascii="宋体" w:hAnsi="宋体" w:cs="宋体"/>
          <w:b/>
          <w:bCs/>
          <w:kern w:val="0"/>
          <w:sz w:val="21"/>
          <w:szCs w:val="21"/>
        </w:rPr>
      </w:pPr>
      <w:r>
        <w:rPr>
          <w:rFonts w:hint="eastAsia" w:ascii="宋体" w:hAnsi="宋体" w:cs="宋体"/>
          <w:b/>
          <w:kern w:val="0"/>
          <w:sz w:val="21"/>
          <w:szCs w:val="21"/>
        </w:rPr>
        <w:t>（一）德育加减分细则  【详见附件商学院（管理学院）本科生德育测评细则】</w:t>
      </w:r>
      <w:r>
        <w:rPr>
          <w:rFonts w:hint="eastAsia" w:ascii="宋体" w:hAnsi="宋体" w:cs="宋体"/>
          <w:b/>
          <w:bCs/>
          <w:kern w:val="0"/>
          <w:sz w:val="21"/>
          <w:szCs w:val="21"/>
        </w:rPr>
        <w:t xml:space="preserve">  </w:t>
      </w:r>
      <w:r>
        <w:rPr>
          <w:rFonts w:hint="eastAsia" w:ascii="宋体" w:hAnsi="宋体" w:cs="宋体"/>
          <w:kern w:val="0"/>
          <w:sz w:val="21"/>
          <w:szCs w:val="21"/>
        </w:rPr>
        <w:t> </w:t>
      </w:r>
    </w:p>
    <w:p>
      <w:pPr>
        <w:ind w:firstLine="402" w:firstLineChars="195"/>
        <w:rPr>
          <w:rFonts w:hint="eastAsia" w:ascii="宋体" w:hAnsi="宋体" w:cs="宋体"/>
          <w:b/>
          <w:sz w:val="21"/>
          <w:szCs w:val="21"/>
        </w:rPr>
      </w:pPr>
      <w:r>
        <w:rPr>
          <w:rFonts w:hint="eastAsia" w:ascii="宋体" w:hAnsi="宋体" w:cs="宋体"/>
          <w:b/>
          <w:sz w:val="21"/>
          <w:szCs w:val="21"/>
        </w:rPr>
        <w:t>（二）智育测评</w:t>
      </w:r>
    </w:p>
    <w:p>
      <w:pPr>
        <w:ind w:firstLine="402" w:firstLineChars="195"/>
        <w:rPr>
          <w:rFonts w:hint="eastAsia" w:ascii="宋体" w:hAnsi="宋体" w:cs="宋体"/>
          <w:sz w:val="21"/>
          <w:szCs w:val="21"/>
        </w:rPr>
      </w:pPr>
      <w:r>
        <w:rPr>
          <w:rFonts w:hint="eastAsia" w:ascii="宋体" w:hAnsi="宋体" w:cs="宋体"/>
          <w:sz w:val="21"/>
          <w:szCs w:val="21"/>
        </w:rPr>
        <w:t xml:space="preserve">   智育成绩（满分100分）=考试分+加减分，智育总成绩不超过一百分。</w:t>
      </w:r>
    </w:p>
    <w:p>
      <w:pPr>
        <w:numPr>
          <w:ilvl w:val="0"/>
          <w:numId w:val="1"/>
        </w:numPr>
        <w:rPr>
          <w:rFonts w:ascii="宋体" w:hAnsi="宋体" w:cs="宋体"/>
          <w:b/>
          <w:bCs/>
          <w:sz w:val="21"/>
          <w:szCs w:val="21"/>
        </w:rPr>
      </w:pPr>
      <w:r>
        <w:rPr>
          <w:rFonts w:hint="eastAsia" w:ascii="宋体" w:hAnsi="宋体" w:cs="宋体"/>
          <w:b/>
          <w:bCs/>
          <w:sz w:val="21"/>
          <w:szCs w:val="21"/>
        </w:rPr>
        <w:t>考试分</w:t>
      </w:r>
    </w:p>
    <w:p>
      <w:pPr>
        <w:ind w:firstLine="401"/>
        <w:rPr>
          <w:rFonts w:hint="eastAsia" w:ascii="宋体" w:hAnsi="宋体" w:cs="宋体"/>
          <w:sz w:val="21"/>
          <w:szCs w:val="21"/>
        </w:rPr>
      </w:pPr>
      <w:r>
        <w:rPr>
          <w:rFonts w:hint="eastAsia" w:ascii="宋体" w:hAnsi="宋体" w:cs="宋体"/>
          <w:sz w:val="21"/>
          <w:szCs w:val="21"/>
        </w:rPr>
        <w:t>考试分为一学年中按教学计划规定所学的必修课（不含体育课）及专业选修课的考试所得分数与相应学分的标准值，其公式为：</w:t>
      </w:r>
    </w:p>
    <w:p>
      <w:pPr>
        <w:spacing w:line="600" w:lineRule="exact"/>
        <w:ind w:firstLine="632" w:firstLineChars="200"/>
        <w:jc w:val="center"/>
        <w:rPr>
          <w:rFonts w:ascii="仿宋_GB2312" w:hAnsi="仿宋" w:eastAsia="仿宋_GB2312" w:cs="仿宋"/>
          <w:szCs w:val="31"/>
        </w:rPr>
      </w:pPr>
      <w:r>
        <w:rPr>
          <w:rFonts w:ascii="仿宋_GB2312" w:hAnsi="仿宋" w:eastAsia="仿宋_GB2312" w:cs="仿宋"/>
          <w:szCs w:val="31"/>
        </w:rPr>
        <w:t>考试分=</w:t>
      </w:r>
      <w:r>
        <w:rPr>
          <w:rFonts w:ascii="仿宋_GB2312" w:hAnsi="仿宋" w:eastAsia="仿宋_GB2312" w:cs="仿宋"/>
          <w:szCs w:val="31"/>
        </w:rPr>
        <w:fldChar w:fldCharType="begin"/>
      </w:r>
      <w:r>
        <w:rPr>
          <w:rFonts w:ascii="仿宋_GB2312" w:hAnsi="仿宋" w:eastAsia="仿宋_GB2312" w:cs="仿宋"/>
          <w:szCs w:val="31"/>
        </w:rPr>
        <w:instrText xml:space="preserve"> QUOTE </w:instrText>
      </w:r>
      <w:r>
        <w:rPr>
          <w:position w:val="-69"/>
        </w:rPr>
        <w:pict>
          <v:shape id="_x0000_i1025" o:spt="75" type="#_x0000_t75" style="height:57.75pt;width:153.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7&quot;/&gt;&lt;w:doNotEmbedSystemFonts/&gt;&lt;w:bordersDontSurroundHeader/&gt;&lt;w:bordersDontSurroundFooter/&gt;&lt;w:stylePaneFormatFilter w:val=&quot;3F01&quot;/&gt;&lt;w:defaultTabStop w:val=&quot;425&quot;/&gt;&lt;w:evenAndOddHeaders/&gt;&lt;w:drawingGridHorizontalSpacing w:val=&quot;315&quot;/&gt;&lt;w:drawingGridVerticalSpacing w:val=&quot;579&quot;/&gt;&lt;w:displayHorizontalDrawingGridEvery w:val=&quot;0&quot;/&gt;&lt;w:punctuationKerning/&gt;&lt;w:characterSpacingControl w:val=&quot;CompressPunctuation&quot;/&gt;&lt;w:webPageEncoding w:val=&quot;x-cp20936&quot;/&gt;&lt;w:optimizeForBrowser/&gt;&lt;w:allowPNG/&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docVars&gt;&lt;w:docVar w:name=&quot;commondata&quot; w:val=&quot;eyJoZGlkIjoiMGFmY2FlZWFlZWFlNmIwZGZhMDcxNGJiNDNkMDg2ZWUifQ==&quot;/&gt;&lt;/w:docVars&gt;&lt;wsp:rsids&gt;&lt;wsp:rsidRoot wsp:val=&quot;00421ED5&quot;/&gt;&lt;wsp:rsid wsp:val=&quot;000309B3&quot;/&gt;&lt;wsp:rsid wsp:val=&quot;0003152F&quot;/&gt;&lt;wsp:rsid wsp:val=&quot;00034BFB&quot;/&gt;&lt;wsp:rsid wsp:val=&quot;00041B95&quot;/&gt;&lt;wsp:rsid wsp:val=&quot;00051E26&quot;/&gt;&lt;wsp:rsid wsp:val=&quot;00066BC1&quot;/&gt;&lt;wsp:rsid wsp:val=&quot;00070C1E&quot;/&gt;&lt;wsp:rsid wsp:val=&quot;00072624&quot;/&gt;&lt;wsp:rsid wsp:val=&quot;00095020&quot;/&gt;&lt;wsp:rsid wsp:val=&quot;000B1AFA&quot;/&gt;&lt;wsp:rsid wsp:val=&quot;000C3C0A&quot;/&gt;&lt;wsp:rsid wsp:val=&quot;000D06DD&quot;/&gt;&lt;wsp:rsid wsp:val=&quot;000E2A6B&quot;/&gt;&lt;wsp:rsid wsp:val=&quot;000E701D&quot;/&gt;&lt;wsp:rsid wsp:val=&quot;00113C24&quot;/&gt;&lt;wsp:rsid wsp:val=&quot;001377EC&quot;/&gt;&lt;wsp:rsid wsp:val=&quot;00154036&quot;/&gt;&lt;wsp:rsid wsp:val=&quot;00165592&quot;/&gt;&lt;wsp:rsid wsp:val=&quot;00195ECA&quot;/&gt;&lt;wsp:rsid wsp:val=&quot;001B315E&quot;/&gt;&lt;wsp:rsid wsp:val=&quot;001B3A81&quot;/&gt;&lt;wsp:rsid wsp:val=&quot;001B5EF8&quot;/&gt;&lt;wsp:rsid wsp:val=&quot;001C196F&quot;/&gt;&lt;wsp:rsid wsp:val=&quot;001D3F80&quot;/&gt;&lt;wsp:rsid wsp:val=&quot;001E1435&quot;/&gt;&lt;wsp:rsid wsp:val=&quot;0022572F&quot;/&gt;&lt;wsp:rsid wsp:val=&quot;002468F9&quot;/&gt;&lt;wsp:rsid wsp:val=&quot;00251C82&quot;/&gt;&lt;wsp:rsid wsp:val=&quot;00256069&quot;/&gt;&lt;wsp:rsid wsp:val=&quot;002632B5&quot;/&gt;&lt;wsp:rsid wsp:val=&quot;002805E7&quot;/&gt;&lt;wsp:rsid wsp:val=&quot;002A17CB&quot;/&gt;&lt;wsp:rsid wsp:val=&quot;002A580F&quot;/&gt;&lt;wsp:rsid wsp:val=&quot;002B36EA&quot;/&gt;&lt;wsp:rsid wsp:val=&quot;002C039F&quot;/&gt;&lt;wsp:rsid wsp:val=&quot;002C0D8F&quot;/&gt;&lt;wsp:rsid wsp:val=&quot;002C4DAD&quot;/&gt;&lt;wsp:rsid wsp:val=&quot;002D199D&quot;/&gt;&lt;wsp:rsid wsp:val=&quot;002D6988&quot;/&gt;&lt;wsp:rsid wsp:val=&quot;002E7946&quot;/&gt;&lt;wsp:rsid wsp:val=&quot;0031086F&quot;/&gt;&lt;wsp:rsid wsp:val=&quot;0031782D&quot;/&gt;&lt;wsp:rsid wsp:val=&quot;00322136&quot;/&gt;&lt;wsp:rsid wsp:val=&quot;003223D2&quot;/&gt;&lt;wsp:rsid wsp:val=&quot;00326D95&quot;/&gt;&lt;wsp:rsid wsp:val=&quot;003370F6&quot;/&gt;&lt;wsp:rsid wsp:val=&quot;00345A8D&quot;/&gt;&lt;wsp:rsid wsp:val=&quot;00346D90&quot;/&gt;&lt;wsp:rsid wsp:val=&quot;00347508&quot;/&gt;&lt;wsp:rsid wsp:val=&quot;00376DB8&quot;/&gt;&lt;wsp:rsid wsp:val=&quot;0038355E&quot;/&gt;&lt;wsp:rsid wsp:val=&quot;00396131&quot;/&gt;&lt;wsp:rsid wsp:val=&quot;003A5870&quot;/&gt;&lt;wsp:rsid wsp:val=&quot;003C1F01&quot;/&gt;&lt;wsp:rsid wsp:val=&quot;003E499A&quot;/&gt;&lt;wsp:rsid wsp:val=&quot;00404DCE&quot;/&gt;&lt;wsp:rsid wsp:val=&quot;00412EF9&quot;/&gt;&lt;wsp:rsid wsp:val=&quot;004213D2&quot;/&gt;&lt;wsp:rsid wsp:val=&quot;00421ED5&quot;/&gt;&lt;wsp:rsid wsp:val=&quot;004339F4&quot;/&gt;&lt;wsp:rsid wsp:val=&quot;004437BC&quot;/&gt;&lt;wsp:rsid wsp:val=&quot;00471520&quot;/&gt;&lt;wsp:rsid wsp:val=&quot;00473717&quot;/&gt;&lt;wsp:rsid wsp:val=&quot;004850BA&quot;/&gt;&lt;wsp:rsid wsp:val=&quot;004850BE&quot;/&gt;&lt;wsp:rsid wsp:val=&quot;0049197C&quot;/&gt;&lt;wsp:rsid wsp:val=&quot;004956C5&quot;/&gt;&lt;wsp:rsid wsp:val=&quot;00496183&quot;/&gt;&lt;wsp:rsid wsp:val=&quot;00496D4D&quot;/&gt;&lt;wsp:rsid wsp:val=&quot;004A0553&quot;/&gt;&lt;wsp:rsid wsp:val=&quot;004A4E7F&quot;/&gt;&lt;wsp:rsid wsp:val=&quot;004C148E&quot;/&gt;&lt;wsp:rsid wsp:val=&quot;004E042F&quot;/&gt;&lt;wsp:rsid wsp:val=&quot;00506837&quot;/&gt;&lt;wsp:rsid wsp:val=&quot;00533795&quot;/&gt;&lt;wsp:rsid wsp:val=&quot;00541B0B&quot;/&gt;&lt;wsp:rsid wsp:val=&quot;00551E9F&quot;/&gt;&lt;wsp:rsid wsp:val=&quot;00553236&quot;/&gt;&lt;wsp:rsid wsp:val=&quot;0056440C&quot;/&gt;&lt;wsp:rsid wsp:val=&quot;005709B2&quot;/&gt;&lt;wsp:rsid wsp:val=&quot;00570EDA&quot;/&gt;&lt;wsp:rsid wsp:val=&quot;005A6DAF&quot;/&gt;&lt;wsp:rsid wsp:val=&quot;005D6A60&quot;/&gt;&lt;wsp:rsid wsp:val=&quot;005D6F06&quot;/&gt;&lt;wsp:rsid wsp:val=&quot;005E24CA&quot;/&gt;&lt;wsp:rsid wsp:val=&quot;005E7491&quot;/&gt;&lt;wsp:rsid wsp:val=&quot;006074AF&quot;/&gt;&lt;wsp:rsid wsp:val=&quot;00627F3B&quot;/&gt;&lt;wsp:rsid wsp:val=&quot;0064029E&quot;/&gt;&lt;wsp:rsid wsp:val=&quot;0066271C&quot;/&gt;&lt;wsp:rsid wsp:val=&quot;00667839&quot;/&gt;&lt;wsp:rsid wsp:val=&quot;00682407&quot;/&gt;&lt;wsp:rsid wsp:val=&quot;006912AF&quot;/&gt;&lt;wsp:rsid wsp:val=&quot;006A0D8F&quot;/&gt;&lt;wsp:rsid wsp:val=&quot;006A68CC&quot;/&gt;&lt;wsp:rsid wsp:val=&quot;006B0FAF&quot;/&gt;&lt;wsp:rsid wsp:val=&quot;006C075A&quot;/&gt;&lt;wsp:rsid wsp:val=&quot;006C7B74&quot;/&gt;&lt;wsp:rsid wsp:val=&quot;006F4EF2&quot;/&gt;&lt;wsp:rsid wsp:val=&quot;006F7EA8&quot;/&gt;&lt;wsp:rsid wsp:val=&quot;007060F0&quot;/&gt;&lt;wsp:rsid wsp:val=&quot;007169E5&quot;/&gt;&lt;wsp:rsid wsp:val=&quot;007254D7&quot;/&gt;&lt;wsp:rsid wsp:val=&quot;0073507D&quot;/&gt;&lt;wsp:rsid wsp:val=&quot;00735EBC&quot;/&gt;&lt;wsp:rsid wsp:val=&quot;00770367&quot;/&gt;&lt;wsp:rsid wsp:val=&quot;00795FA2&quot;/&gt;&lt;wsp:rsid wsp:val=&quot;007B063E&quot;/&gt;&lt;wsp:rsid wsp:val=&quot;007C06C0&quot;/&gt;&lt;wsp:rsid wsp:val=&quot;007C29D1&quot;/&gt;&lt;wsp:rsid wsp:val=&quot;007F303F&quot;/&gt;&lt;wsp:rsid wsp:val=&quot;007F6533&quot;/&gt;&lt;wsp:rsid wsp:val=&quot;00804B1C&quot;/&gt;&lt;wsp:rsid wsp:val=&quot;00823C84&quot;/&gt;&lt;wsp:rsid wsp:val=&quot;0082709F&quot;/&gt;&lt;wsp:rsid wsp:val=&quot;0083202B&quot;/&gt;&lt;wsp:rsid wsp:val=&quot;00860CED&quot;/&gt;&lt;wsp:rsid wsp:val=&quot;00873EA2&quot;/&gt;&lt;wsp:rsid wsp:val=&quot;00886132&quot;/&gt;&lt;wsp:rsid wsp:val=&quot;008918AA&quot;/&gt;&lt;wsp:rsid wsp:val=&quot;008A0C95&quot;/&gt;&lt;wsp:rsid wsp:val=&quot;008A2C4F&quot;/&gt;&lt;wsp:rsid wsp:val=&quot;008A78C3&quot;/&gt;&lt;wsp:rsid wsp:val=&quot;008F75CF&quot;/&gt;&lt;wsp:rsid wsp:val=&quot;00910C90&quot;/&gt;&lt;wsp:rsid wsp:val=&quot;009117BB&quot;/&gt;&lt;wsp:rsid wsp:val=&quot;009168A4&quot;/&gt;&lt;wsp:rsid wsp:val=&quot;00921F82&quot;/&gt;&lt;wsp:rsid wsp:val=&quot;009228C7&quot;/&gt;&lt;wsp:rsid wsp:val=&quot;009350A4&quot;/&gt;&lt;wsp:rsid wsp:val=&quot;009547B8&quot;/&gt;&lt;wsp:rsid wsp:val=&quot;00960C2F&quot;/&gt;&lt;wsp:rsid wsp:val=&quot;00976C2E&quot;/&gt;&lt;wsp:rsid wsp:val=&quot;00986598&quot;/&gt;&lt;wsp:rsid wsp:val=&quot;00986B51&quot;/&gt;&lt;wsp:rsid wsp:val=&quot;00996A2D&quot;/&gt;&lt;wsp:rsid wsp:val=&quot;009A4EAD&quot;/&gt;&lt;wsp:rsid wsp:val=&quot;009A5362&quot;/&gt;&lt;wsp:rsid wsp:val=&quot;009C3B94&quot;/&gt;&lt;wsp:rsid wsp:val=&quot;009D54E9&quot;/&gt;&lt;wsp:rsid wsp:val=&quot;009E44A7&quot;/&gt;&lt;wsp:rsid wsp:val=&quot;009F4D39&quot;/&gt;&lt;wsp:rsid wsp:val=&quot;00A04BD8&quot;/&gt;&lt;wsp:rsid wsp:val=&quot;00A1282A&quot;/&gt;&lt;wsp:rsid wsp:val=&quot;00A21DDD&quot;/&gt;&lt;wsp:rsid wsp:val=&quot;00A40D3E&quot;/&gt;&lt;wsp:rsid wsp:val=&quot;00A45654&quot;/&gt;&lt;wsp:rsid wsp:val=&quot;00A5448A&quot;/&gt;&lt;wsp:rsid wsp:val=&quot;00A572C5&quot;/&gt;&lt;wsp:rsid wsp:val=&quot;00A67526&quot;/&gt;&lt;wsp:rsid wsp:val=&quot;00A70AC2&quot;/&gt;&lt;wsp:rsid wsp:val=&quot;00A87DAD&quot;/&gt;&lt;wsp:rsid wsp:val=&quot;00A92264&quot;/&gt;&lt;wsp:rsid wsp:val=&quot;00AC7C88&quot;/&gt;&lt;wsp:rsid wsp:val=&quot;00AD4843&quot;/&gt;&lt;wsp:rsid wsp:val=&quot;00AE3509&quot;/&gt;&lt;wsp:rsid wsp:val=&quot;00AE4988&quot;/&gt;&lt;wsp:rsid wsp:val=&quot;00AF1003&quot;/&gt;&lt;wsp:rsid wsp:val=&quot;00AF54E1&quot;/&gt;&lt;wsp:rsid wsp:val=&quot;00AF58BF&quot;/&gt;&lt;wsp:rsid wsp:val=&quot;00B1327C&quot;/&gt;&lt;wsp:rsid wsp:val=&quot;00B14505&quot;/&gt;&lt;wsp:rsid wsp:val=&quot;00B42A52&quot;/&gt;&lt;wsp:rsid wsp:val=&quot;00B6235C&quot;/&gt;&lt;wsp:rsid wsp:val=&quot;00B92E12&quot;/&gt;&lt;wsp:rsid wsp:val=&quot;00B930D8&quot;/&gt;&lt;wsp:rsid wsp:val=&quot;00B96D1A&quot;/&gt;&lt;wsp:rsid wsp:val=&quot;00BA2794&quot;/&gt;&lt;wsp:rsid wsp:val=&quot;00BC15B3&quot;/&gt;&lt;wsp:rsid wsp:val=&quot;00BC30F1&quot;/&gt;&lt;wsp:rsid wsp:val=&quot;00BC3F9C&quot;/&gt;&lt;wsp:rsid wsp:val=&quot;00BE06DD&quot;/&gt;&lt;wsp:rsid wsp:val=&quot;00BE141D&quot;/&gt;&lt;wsp:rsid wsp:val=&quot;00C00C8A&quot;/&gt;&lt;wsp:rsid wsp:val=&quot;00C03BC8&quot;/&gt;&lt;wsp:rsid wsp:val=&quot;00C16EC6&quot;/&gt;&lt;wsp:rsid wsp:val=&quot;00C2255A&quot;/&gt;&lt;wsp:rsid wsp:val=&quot;00C3049E&quot;/&gt;&lt;wsp:rsid wsp:val=&quot;00C37CF3&quot;/&gt;&lt;wsp:rsid wsp:val=&quot;00C47B6B&quot;/&gt;&lt;wsp:rsid wsp:val=&quot;00C52890&quot;/&gt;&lt;wsp:rsid wsp:val=&quot;00C52DF7&quot;/&gt;&lt;wsp:rsid wsp:val=&quot;00C72EA5&quot;/&gt;&lt;wsp:rsid wsp:val=&quot;00C76EF9&quot;/&gt;&lt;wsp:rsid wsp:val=&quot;00C7792E&quot;/&gt;&lt;wsp:rsid wsp:val=&quot;00C77B25&quot;/&gt;&lt;wsp:rsid wsp:val=&quot;00C9496B&quot;/&gt;&lt;wsp:rsid wsp:val=&quot;00CA0CB8&quot;/&gt;&lt;wsp:rsid wsp:val=&quot;00CB0FE0&quot;/&gt;&lt;wsp:rsid wsp:val=&quot;00CC76CA&quot;/&gt;&lt;wsp:rsid wsp:val=&quot;00CE29B3&quot;/&gt;&lt;wsp:rsid wsp:val=&quot;00D047DA&quot;/&gt;&lt;wsp:rsid wsp:val=&quot;00D149E8&quot;/&gt;&lt;wsp:rsid wsp:val=&quot;00D1785D&quot;/&gt;&lt;wsp:rsid wsp:val=&quot;00D22B54&quot;/&gt;&lt;wsp:rsid wsp:val=&quot;00D244C5&quot;/&gt;&lt;wsp:rsid wsp:val=&quot;00D545E0&quot;/&gt;&lt;wsp:rsid wsp:val=&quot;00D547E2&quot;/&gt;&lt;wsp:rsid wsp:val=&quot;00D55C82&quot;/&gt;&lt;wsp:rsid wsp:val=&quot;00D62BE4&quot;/&gt;&lt;wsp:rsid wsp:val=&quot;00D67718&quot;/&gt;&lt;wsp:rsid wsp:val=&quot;00D75E11&quot;/&gt;&lt;wsp:rsid wsp:val=&quot;00D77A1D&quot;/&gt;&lt;wsp:rsid wsp:val=&quot;00D80E96&quot;/&gt;&lt;wsp:rsid wsp:val=&quot;00D83A49&quot;/&gt;&lt;wsp:rsid wsp:val=&quot;00D87FD4&quot;/&gt;&lt;wsp:rsid wsp:val=&quot;00DC5467&quot;/&gt;&lt;wsp:rsid wsp:val=&quot;00DD4057&quot;/&gt;&lt;wsp:rsid wsp:val=&quot;00DD42AD&quot;/&gt;&lt;wsp:rsid wsp:val=&quot;00DD4A9B&quot;/&gt;&lt;wsp:rsid wsp:val=&quot;00E054F7&quot;/&gt;&lt;wsp:rsid wsp:val=&quot;00E4532E&quot;/&gt;&lt;wsp:rsid wsp:val=&quot;00E56EAD&quot;/&gt;&lt;wsp:rsid wsp:val=&quot;00E678E0&quot;/&gt;&lt;wsp:rsid wsp:val=&quot;00E8404D&quot;/&gt;&lt;wsp:rsid wsp:val=&quot;00EA1D3D&quot;/&gt;&lt;wsp:rsid wsp:val=&quot;00ED5D8F&quot;/&gt;&lt;wsp:rsid wsp:val=&quot;00EE5FB5&quot;/&gt;&lt;wsp:rsid wsp:val=&quot;00EF1F8C&quot;/&gt;&lt;wsp:rsid wsp:val=&quot;00EF78CA&quot;/&gt;&lt;wsp:rsid wsp:val=&quot;00F04692&quot;/&gt;&lt;wsp:rsid wsp:val=&quot;00F376B1&quot;/&gt;&lt;wsp:rsid wsp:val=&quot;00F57D30&quot;/&gt;&lt;wsp:rsid wsp:val=&quot;00F62938&quot;/&gt;&lt;wsp:rsid wsp:val=&quot;00F8127D&quot;/&gt;&lt;wsp:rsid wsp:val=&quot;00F875AD&quot;/&gt;&lt;wsp:rsid wsp:val=&quot;00F95D78&quot;/&gt;&lt;wsp:rsid wsp:val=&quot;00FC4E37&quot;/&gt;&lt;wsp:rsid wsp:val=&quot;00FD1C98&quot;/&gt;&lt;wsp:rsid wsp:val=&quot;00FD361E&quot;/&gt;&lt;wsp:rsid wsp:val=&quot;00FF1CD7&quot;/&gt;&lt;wsp:rsid wsp:val=&quot;00FF6A3E&quot;/&gt;&lt;wsp:rsid wsp:val=&quot;07A32B23&quot;/&gt;&lt;wsp:rsid wsp:val=&quot;08E92479&quot;/&gt;&lt;wsp:rsid wsp:val=&quot;0B4374C1&quot;/&gt;&lt;wsp:rsid wsp:val=&quot;10045BDC&quot;/&gt;&lt;wsp:rsid wsp:val=&quot;10435CDE&quot;/&gt;&lt;wsp:rsid wsp:val=&quot;10F9002C&quot;/&gt;&lt;wsp:rsid wsp:val=&quot;138228A6&quot;/&gt;&lt;wsp:rsid wsp:val=&quot;1BDE2589&quot;/&gt;&lt;wsp:rsid wsp:val=&quot;1D9B4C90&quot;/&gt;&lt;wsp:rsid wsp:val=&quot;1EA23447&quot;/&gt;&lt;wsp:rsid wsp:val=&quot;1F220451&quot;/&gt;&lt;wsp:rsid wsp:val=&quot;21044B63&quot;/&gt;&lt;wsp:rsid wsp:val=&quot;2BAC387E&quot;/&gt;&lt;wsp:rsid wsp:val=&quot;414D6E97&quot;/&gt;&lt;wsp:rsid wsp:val=&quot;468305D0&quot;/&gt;&lt;wsp:rsid wsp:val=&quot;490877B4&quot;/&gt;&lt;wsp:rsid wsp:val=&quot;4AD93E52&quot;/&gt;&lt;wsp:rsid wsp:val=&quot;4E683DFA&quot;/&gt;&lt;wsp:rsid wsp:val=&quot;4E7C132A&quot;/&gt;&lt;wsp:rsid wsp:val=&quot;4F2F2663&quot;/&gt;&lt;wsp:rsid wsp:val=&quot;527D7482&quot;/&gt;&lt;wsp:rsid wsp:val=&quot;52F45918&quot;/&gt;&lt;wsp:rsid wsp:val=&quot;588D4BFA&quot;/&gt;&lt;wsp:rsid wsp:val=&quot;5ADF54B5&quot;/&gt;&lt;wsp:rsid wsp:val=&quot;67296AEE&quot;/&gt;&lt;wsp:rsid wsp:val=&quot;68103152&quot;/&gt;&lt;wsp:rsid wsp:val=&quot;68C4021E&quot;/&gt;&lt;wsp:rsid wsp:val=&quot;6A500618&quot;/&gt;&lt;wsp:rsid wsp:val=&quot;79BC6C95&quot;/&gt;&lt;/wsp:rsids&gt;&lt;/w:docPr&gt;&lt;w:body&gt;&lt;wx:sect&gt;&lt;w:p wsp:rsidR=&quot;00000000&quot; wsp:rsidRDefault=&quot;00EA1D3D&quot; wsp:rsidP=&quot;00EA1D3D&quot;&gt;&lt;m:oMathPara&gt;&lt;m:oMath&gt;&lt;m:f&gt;&lt;m:fPr&gt;&lt;m:ctrlPr&gt;&lt;aml:annotation aml:id=&quot;0&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fPr&gt;&lt;m:num&gt;&lt;m:sSub&gt;&lt;m:sSubPr&gt;&lt;m:ctrlPr&gt;&lt;aml:annotation aml:id=&quot;1&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2&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3&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1&lt;/m:t&gt;&lt;/aml:content&gt;&lt;/aml:annotation&gt;&lt;/m:r&gt;&lt;/m:sub&gt;&lt;/m:sSub&gt;&lt;m:r&gt;&lt;aml:annotation aml:id=&quot;4&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5&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6&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7&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1&lt;/m:t&gt;&lt;/aml:content&gt;&lt;/aml:annotation&gt;&lt;/m:r&gt;&lt;/m:sub&gt;&lt;/m:sSub&gt;&lt;m:r&gt;&lt;aml:annotation aml:id=&quot;8&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9&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0&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11&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2&lt;/m:t&gt;&lt;/aml:content&gt;&lt;/aml:annotation&gt;&lt;/m:r&gt;&lt;/m:sub&gt;&lt;/m:sSub&gt;&lt;m:r&gt;&lt;aml:annotation aml:id=&quot;12&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13&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4&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15&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2&lt;/m:t&gt;&lt;/aml:content&gt;&lt;/aml:annotation&gt;&lt;/m:r&gt;&lt;/m:sub&gt;&lt;/m:sSub&gt;&lt;m:r&gt;&lt;aml:annotation aml:id=&quot;16&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17&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8&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19&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n&lt;/m:t&gt;&lt;/aml:content&gt;&lt;/aml:annotation&gt;&lt;/m:r&gt;&lt;/m:sub&gt;&lt;/m:sSub&gt;&lt;m:r&gt;&lt;aml:annotation aml:id=&quot;20&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21&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22&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23&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n&lt;/m:t&gt;&lt;/aml:content&gt;&lt;/aml:annotation&gt;&lt;/m:r&gt;&lt;/m:sub&gt;&lt;/m:sSub&gt;&lt;/m:num&gt;&lt;m:den&gt;&lt;m:eqArr&gt;&lt;m:eqArrPr&gt;&lt;m:ctrlPr&gt;&lt;aml:annotation aml:id=&quot;24&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eqArrPr&gt;&lt;m:e&gt;&lt;m:r&gt;&lt;aml:annotation aml:id=&quot;25&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k&lt;/m:t&gt;&lt;/aml:content&gt;&lt;/aml:annotation&gt;&lt;/m:r&gt;&lt;/m:e&gt;&lt;m:e/&gt;&lt;m:e/&gt;&lt;/m:eqAr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ascii="仿宋_GB2312" w:hAnsi="仿宋" w:eastAsia="仿宋_GB2312" w:cs="仿宋"/>
          <w:szCs w:val="31"/>
        </w:rPr>
        <w:instrText xml:space="preserve"> </w:instrText>
      </w:r>
      <w:r>
        <w:rPr>
          <w:rFonts w:ascii="仿宋_GB2312" w:hAnsi="仿宋" w:eastAsia="仿宋_GB2312" w:cs="仿宋"/>
          <w:szCs w:val="31"/>
        </w:rPr>
        <w:fldChar w:fldCharType="separate"/>
      </w:r>
      <w:r>
        <w:rPr>
          <w:position w:val="-69"/>
        </w:rPr>
        <w:pict>
          <v:shape id="_x0000_i1026" o:spt="75" type="#_x0000_t75" style="height:57.75pt;width:153.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7&quot;/&gt;&lt;w:doNotEmbedSystemFonts/&gt;&lt;w:bordersDontSurroundHeader/&gt;&lt;w:bordersDontSurroundFooter/&gt;&lt;w:stylePaneFormatFilter w:val=&quot;3F01&quot;/&gt;&lt;w:defaultTabStop w:val=&quot;425&quot;/&gt;&lt;w:evenAndOddHeaders/&gt;&lt;w:drawingGridHorizontalSpacing w:val=&quot;315&quot;/&gt;&lt;w:drawingGridVerticalSpacing w:val=&quot;579&quot;/&gt;&lt;w:displayHorizontalDrawingGridEvery w:val=&quot;0&quot;/&gt;&lt;w:punctuationKerning/&gt;&lt;w:characterSpacingControl w:val=&quot;CompressPunctuation&quot;/&gt;&lt;w:webPageEncoding w:val=&quot;x-cp20936&quot;/&gt;&lt;w:optimizeForBrowser/&gt;&lt;w:allowPNG/&gt;&lt;w:savePreviewPictur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docVars&gt;&lt;w:docVar w:name=&quot;commondata&quot; w:val=&quot;eyJoZGlkIjoiMGFmY2FlZWFlZWFlNmIwZGZhMDcxNGJiNDNkMDg2ZWUifQ==&quot;/&gt;&lt;/w:docVars&gt;&lt;wsp:rsids&gt;&lt;wsp:rsidRoot wsp:val=&quot;00421ED5&quot;/&gt;&lt;wsp:rsid wsp:val=&quot;000309B3&quot;/&gt;&lt;wsp:rsid wsp:val=&quot;0003152F&quot;/&gt;&lt;wsp:rsid wsp:val=&quot;00034BFB&quot;/&gt;&lt;wsp:rsid wsp:val=&quot;00041B95&quot;/&gt;&lt;wsp:rsid wsp:val=&quot;00051E26&quot;/&gt;&lt;wsp:rsid wsp:val=&quot;00066BC1&quot;/&gt;&lt;wsp:rsid wsp:val=&quot;00070C1E&quot;/&gt;&lt;wsp:rsid wsp:val=&quot;00072624&quot;/&gt;&lt;wsp:rsid wsp:val=&quot;00095020&quot;/&gt;&lt;wsp:rsid wsp:val=&quot;000B1AFA&quot;/&gt;&lt;wsp:rsid wsp:val=&quot;000C3C0A&quot;/&gt;&lt;wsp:rsid wsp:val=&quot;000D06DD&quot;/&gt;&lt;wsp:rsid wsp:val=&quot;000E2A6B&quot;/&gt;&lt;wsp:rsid wsp:val=&quot;000E701D&quot;/&gt;&lt;wsp:rsid wsp:val=&quot;00113C24&quot;/&gt;&lt;wsp:rsid wsp:val=&quot;001377EC&quot;/&gt;&lt;wsp:rsid wsp:val=&quot;00154036&quot;/&gt;&lt;wsp:rsid wsp:val=&quot;00165592&quot;/&gt;&lt;wsp:rsid wsp:val=&quot;00195ECA&quot;/&gt;&lt;wsp:rsid wsp:val=&quot;001B315E&quot;/&gt;&lt;wsp:rsid wsp:val=&quot;001B3A81&quot;/&gt;&lt;wsp:rsid wsp:val=&quot;001B5EF8&quot;/&gt;&lt;wsp:rsid wsp:val=&quot;001C196F&quot;/&gt;&lt;wsp:rsid wsp:val=&quot;001D3F80&quot;/&gt;&lt;wsp:rsid wsp:val=&quot;001E1435&quot;/&gt;&lt;wsp:rsid wsp:val=&quot;0022572F&quot;/&gt;&lt;wsp:rsid wsp:val=&quot;002468F9&quot;/&gt;&lt;wsp:rsid wsp:val=&quot;00251C82&quot;/&gt;&lt;wsp:rsid wsp:val=&quot;00256069&quot;/&gt;&lt;wsp:rsid wsp:val=&quot;002632B5&quot;/&gt;&lt;wsp:rsid wsp:val=&quot;002805E7&quot;/&gt;&lt;wsp:rsid wsp:val=&quot;002A17CB&quot;/&gt;&lt;wsp:rsid wsp:val=&quot;002A580F&quot;/&gt;&lt;wsp:rsid wsp:val=&quot;002B36EA&quot;/&gt;&lt;wsp:rsid wsp:val=&quot;002C039F&quot;/&gt;&lt;wsp:rsid wsp:val=&quot;002C0D8F&quot;/&gt;&lt;wsp:rsid wsp:val=&quot;002C4DAD&quot;/&gt;&lt;wsp:rsid wsp:val=&quot;002D199D&quot;/&gt;&lt;wsp:rsid wsp:val=&quot;002D6988&quot;/&gt;&lt;wsp:rsid wsp:val=&quot;002E7946&quot;/&gt;&lt;wsp:rsid wsp:val=&quot;0031086F&quot;/&gt;&lt;wsp:rsid wsp:val=&quot;0031782D&quot;/&gt;&lt;wsp:rsid wsp:val=&quot;00322136&quot;/&gt;&lt;wsp:rsid wsp:val=&quot;003223D2&quot;/&gt;&lt;wsp:rsid wsp:val=&quot;00326D95&quot;/&gt;&lt;wsp:rsid wsp:val=&quot;003370F6&quot;/&gt;&lt;wsp:rsid wsp:val=&quot;00345A8D&quot;/&gt;&lt;wsp:rsid wsp:val=&quot;00346D90&quot;/&gt;&lt;wsp:rsid wsp:val=&quot;00347508&quot;/&gt;&lt;wsp:rsid wsp:val=&quot;00376DB8&quot;/&gt;&lt;wsp:rsid wsp:val=&quot;0038355E&quot;/&gt;&lt;wsp:rsid wsp:val=&quot;00396131&quot;/&gt;&lt;wsp:rsid wsp:val=&quot;003A5870&quot;/&gt;&lt;wsp:rsid wsp:val=&quot;003C1F01&quot;/&gt;&lt;wsp:rsid wsp:val=&quot;003E499A&quot;/&gt;&lt;wsp:rsid wsp:val=&quot;00404DCE&quot;/&gt;&lt;wsp:rsid wsp:val=&quot;00412EF9&quot;/&gt;&lt;wsp:rsid wsp:val=&quot;004213D2&quot;/&gt;&lt;wsp:rsid wsp:val=&quot;00421ED5&quot;/&gt;&lt;wsp:rsid wsp:val=&quot;004339F4&quot;/&gt;&lt;wsp:rsid wsp:val=&quot;004437BC&quot;/&gt;&lt;wsp:rsid wsp:val=&quot;00471520&quot;/&gt;&lt;wsp:rsid wsp:val=&quot;00473717&quot;/&gt;&lt;wsp:rsid wsp:val=&quot;004850BA&quot;/&gt;&lt;wsp:rsid wsp:val=&quot;004850BE&quot;/&gt;&lt;wsp:rsid wsp:val=&quot;0049197C&quot;/&gt;&lt;wsp:rsid wsp:val=&quot;004956C5&quot;/&gt;&lt;wsp:rsid wsp:val=&quot;00496183&quot;/&gt;&lt;wsp:rsid wsp:val=&quot;00496D4D&quot;/&gt;&lt;wsp:rsid wsp:val=&quot;004A0553&quot;/&gt;&lt;wsp:rsid wsp:val=&quot;004A4E7F&quot;/&gt;&lt;wsp:rsid wsp:val=&quot;004C148E&quot;/&gt;&lt;wsp:rsid wsp:val=&quot;004E042F&quot;/&gt;&lt;wsp:rsid wsp:val=&quot;00506837&quot;/&gt;&lt;wsp:rsid wsp:val=&quot;00533795&quot;/&gt;&lt;wsp:rsid wsp:val=&quot;00541B0B&quot;/&gt;&lt;wsp:rsid wsp:val=&quot;00551E9F&quot;/&gt;&lt;wsp:rsid wsp:val=&quot;00553236&quot;/&gt;&lt;wsp:rsid wsp:val=&quot;0056440C&quot;/&gt;&lt;wsp:rsid wsp:val=&quot;005709B2&quot;/&gt;&lt;wsp:rsid wsp:val=&quot;00570EDA&quot;/&gt;&lt;wsp:rsid wsp:val=&quot;005A6DAF&quot;/&gt;&lt;wsp:rsid wsp:val=&quot;005D6A60&quot;/&gt;&lt;wsp:rsid wsp:val=&quot;005D6F06&quot;/&gt;&lt;wsp:rsid wsp:val=&quot;005E24CA&quot;/&gt;&lt;wsp:rsid wsp:val=&quot;005E7491&quot;/&gt;&lt;wsp:rsid wsp:val=&quot;006074AF&quot;/&gt;&lt;wsp:rsid wsp:val=&quot;00627F3B&quot;/&gt;&lt;wsp:rsid wsp:val=&quot;0064029E&quot;/&gt;&lt;wsp:rsid wsp:val=&quot;0066271C&quot;/&gt;&lt;wsp:rsid wsp:val=&quot;00667839&quot;/&gt;&lt;wsp:rsid wsp:val=&quot;00682407&quot;/&gt;&lt;wsp:rsid wsp:val=&quot;006912AF&quot;/&gt;&lt;wsp:rsid wsp:val=&quot;006A0D8F&quot;/&gt;&lt;wsp:rsid wsp:val=&quot;006A68CC&quot;/&gt;&lt;wsp:rsid wsp:val=&quot;006B0FAF&quot;/&gt;&lt;wsp:rsid wsp:val=&quot;006C075A&quot;/&gt;&lt;wsp:rsid wsp:val=&quot;006C7B74&quot;/&gt;&lt;wsp:rsid wsp:val=&quot;006F4EF2&quot;/&gt;&lt;wsp:rsid wsp:val=&quot;006F7EA8&quot;/&gt;&lt;wsp:rsid wsp:val=&quot;007060F0&quot;/&gt;&lt;wsp:rsid wsp:val=&quot;007169E5&quot;/&gt;&lt;wsp:rsid wsp:val=&quot;007254D7&quot;/&gt;&lt;wsp:rsid wsp:val=&quot;0073507D&quot;/&gt;&lt;wsp:rsid wsp:val=&quot;00735EBC&quot;/&gt;&lt;wsp:rsid wsp:val=&quot;00770367&quot;/&gt;&lt;wsp:rsid wsp:val=&quot;00795FA2&quot;/&gt;&lt;wsp:rsid wsp:val=&quot;007B063E&quot;/&gt;&lt;wsp:rsid wsp:val=&quot;007C06C0&quot;/&gt;&lt;wsp:rsid wsp:val=&quot;007C29D1&quot;/&gt;&lt;wsp:rsid wsp:val=&quot;007F303F&quot;/&gt;&lt;wsp:rsid wsp:val=&quot;007F6533&quot;/&gt;&lt;wsp:rsid wsp:val=&quot;00804B1C&quot;/&gt;&lt;wsp:rsid wsp:val=&quot;00823C84&quot;/&gt;&lt;wsp:rsid wsp:val=&quot;0082709F&quot;/&gt;&lt;wsp:rsid wsp:val=&quot;0083202B&quot;/&gt;&lt;wsp:rsid wsp:val=&quot;00860CED&quot;/&gt;&lt;wsp:rsid wsp:val=&quot;00873EA2&quot;/&gt;&lt;wsp:rsid wsp:val=&quot;00886132&quot;/&gt;&lt;wsp:rsid wsp:val=&quot;008918AA&quot;/&gt;&lt;wsp:rsid wsp:val=&quot;008A0C95&quot;/&gt;&lt;wsp:rsid wsp:val=&quot;008A2C4F&quot;/&gt;&lt;wsp:rsid wsp:val=&quot;008A78C3&quot;/&gt;&lt;wsp:rsid wsp:val=&quot;008F75CF&quot;/&gt;&lt;wsp:rsid wsp:val=&quot;00910C90&quot;/&gt;&lt;wsp:rsid wsp:val=&quot;009117BB&quot;/&gt;&lt;wsp:rsid wsp:val=&quot;009168A4&quot;/&gt;&lt;wsp:rsid wsp:val=&quot;00921F82&quot;/&gt;&lt;wsp:rsid wsp:val=&quot;009228C7&quot;/&gt;&lt;wsp:rsid wsp:val=&quot;009350A4&quot;/&gt;&lt;wsp:rsid wsp:val=&quot;009547B8&quot;/&gt;&lt;wsp:rsid wsp:val=&quot;00960C2F&quot;/&gt;&lt;wsp:rsid wsp:val=&quot;00976C2E&quot;/&gt;&lt;wsp:rsid wsp:val=&quot;00986598&quot;/&gt;&lt;wsp:rsid wsp:val=&quot;00986B51&quot;/&gt;&lt;wsp:rsid wsp:val=&quot;00996A2D&quot;/&gt;&lt;wsp:rsid wsp:val=&quot;009A4EAD&quot;/&gt;&lt;wsp:rsid wsp:val=&quot;009A5362&quot;/&gt;&lt;wsp:rsid wsp:val=&quot;009C3B94&quot;/&gt;&lt;wsp:rsid wsp:val=&quot;009D54E9&quot;/&gt;&lt;wsp:rsid wsp:val=&quot;009E44A7&quot;/&gt;&lt;wsp:rsid wsp:val=&quot;009F4D39&quot;/&gt;&lt;wsp:rsid wsp:val=&quot;00A04BD8&quot;/&gt;&lt;wsp:rsid wsp:val=&quot;00A1282A&quot;/&gt;&lt;wsp:rsid wsp:val=&quot;00A21DDD&quot;/&gt;&lt;wsp:rsid wsp:val=&quot;00A40D3E&quot;/&gt;&lt;wsp:rsid wsp:val=&quot;00A45654&quot;/&gt;&lt;wsp:rsid wsp:val=&quot;00A5448A&quot;/&gt;&lt;wsp:rsid wsp:val=&quot;00A572C5&quot;/&gt;&lt;wsp:rsid wsp:val=&quot;00A67526&quot;/&gt;&lt;wsp:rsid wsp:val=&quot;00A70AC2&quot;/&gt;&lt;wsp:rsid wsp:val=&quot;00A87DAD&quot;/&gt;&lt;wsp:rsid wsp:val=&quot;00A92264&quot;/&gt;&lt;wsp:rsid wsp:val=&quot;00AC7C88&quot;/&gt;&lt;wsp:rsid wsp:val=&quot;00AD4843&quot;/&gt;&lt;wsp:rsid wsp:val=&quot;00AE3509&quot;/&gt;&lt;wsp:rsid wsp:val=&quot;00AE4988&quot;/&gt;&lt;wsp:rsid wsp:val=&quot;00AF1003&quot;/&gt;&lt;wsp:rsid wsp:val=&quot;00AF54E1&quot;/&gt;&lt;wsp:rsid wsp:val=&quot;00AF58BF&quot;/&gt;&lt;wsp:rsid wsp:val=&quot;00B1327C&quot;/&gt;&lt;wsp:rsid wsp:val=&quot;00B14505&quot;/&gt;&lt;wsp:rsid wsp:val=&quot;00B42A52&quot;/&gt;&lt;wsp:rsid wsp:val=&quot;00B6235C&quot;/&gt;&lt;wsp:rsid wsp:val=&quot;00B92E12&quot;/&gt;&lt;wsp:rsid wsp:val=&quot;00B930D8&quot;/&gt;&lt;wsp:rsid wsp:val=&quot;00B96D1A&quot;/&gt;&lt;wsp:rsid wsp:val=&quot;00BA2794&quot;/&gt;&lt;wsp:rsid wsp:val=&quot;00BC15B3&quot;/&gt;&lt;wsp:rsid wsp:val=&quot;00BC30F1&quot;/&gt;&lt;wsp:rsid wsp:val=&quot;00BC3F9C&quot;/&gt;&lt;wsp:rsid wsp:val=&quot;00BE06DD&quot;/&gt;&lt;wsp:rsid wsp:val=&quot;00BE141D&quot;/&gt;&lt;wsp:rsid wsp:val=&quot;00C00C8A&quot;/&gt;&lt;wsp:rsid wsp:val=&quot;00C03BC8&quot;/&gt;&lt;wsp:rsid wsp:val=&quot;00C16EC6&quot;/&gt;&lt;wsp:rsid wsp:val=&quot;00C2255A&quot;/&gt;&lt;wsp:rsid wsp:val=&quot;00C3049E&quot;/&gt;&lt;wsp:rsid wsp:val=&quot;00C37CF3&quot;/&gt;&lt;wsp:rsid wsp:val=&quot;00C47B6B&quot;/&gt;&lt;wsp:rsid wsp:val=&quot;00C52890&quot;/&gt;&lt;wsp:rsid wsp:val=&quot;00C52DF7&quot;/&gt;&lt;wsp:rsid wsp:val=&quot;00C72EA5&quot;/&gt;&lt;wsp:rsid wsp:val=&quot;00C76EF9&quot;/&gt;&lt;wsp:rsid wsp:val=&quot;00C7792E&quot;/&gt;&lt;wsp:rsid wsp:val=&quot;00C77B25&quot;/&gt;&lt;wsp:rsid wsp:val=&quot;00C9496B&quot;/&gt;&lt;wsp:rsid wsp:val=&quot;00CA0CB8&quot;/&gt;&lt;wsp:rsid wsp:val=&quot;00CB0FE0&quot;/&gt;&lt;wsp:rsid wsp:val=&quot;00CC76CA&quot;/&gt;&lt;wsp:rsid wsp:val=&quot;00CE29B3&quot;/&gt;&lt;wsp:rsid wsp:val=&quot;00D047DA&quot;/&gt;&lt;wsp:rsid wsp:val=&quot;00D149E8&quot;/&gt;&lt;wsp:rsid wsp:val=&quot;00D1785D&quot;/&gt;&lt;wsp:rsid wsp:val=&quot;00D22B54&quot;/&gt;&lt;wsp:rsid wsp:val=&quot;00D244C5&quot;/&gt;&lt;wsp:rsid wsp:val=&quot;00D545E0&quot;/&gt;&lt;wsp:rsid wsp:val=&quot;00D547E2&quot;/&gt;&lt;wsp:rsid wsp:val=&quot;00D55C82&quot;/&gt;&lt;wsp:rsid wsp:val=&quot;00D62BE4&quot;/&gt;&lt;wsp:rsid wsp:val=&quot;00D67718&quot;/&gt;&lt;wsp:rsid wsp:val=&quot;00D75E11&quot;/&gt;&lt;wsp:rsid wsp:val=&quot;00D77A1D&quot;/&gt;&lt;wsp:rsid wsp:val=&quot;00D80E96&quot;/&gt;&lt;wsp:rsid wsp:val=&quot;00D83A49&quot;/&gt;&lt;wsp:rsid wsp:val=&quot;00D87FD4&quot;/&gt;&lt;wsp:rsid wsp:val=&quot;00DC5467&quot;/&gt;&lt;wsp:rsid wsp:val=&quot;00DD4057&quot;/&gt;&lt;wsp:rsid wsp:val=&quot;00DD42AD&quot;/&gt;&lt;wsp:rsid wsp:val=&quot;00DD4A9B&quot;/&gt;&lt;wsp:rsid wsp:val=&quot;00E054F7&quot;/&gt;&lt;wsp:rsid wsp:val=&quot;00E4532E&quot;/&gt;&lt;wsp:rsid wsp:val=&quot;00E56EAD&quot;/&gt;&lt;wsp:rsid wsp:val=&quot;00E678E0&quot;/&gt;&lt;wsp:rsid wsp:val=&quot;00E8404D&quot;/&gt;&lt;wsp:rsid wsp:val=&quot;00EA1D3D&quot;/&gt;&lt;wsp:rsid wsp:val=&quot;00ED5D8F&quot;/&gt;&lt;wsp:rsid wsp:val=&quot;00EE5FB5&quot;/&gt;&lt;wsp:rsid wsp:val=&quot;00EF1F8C&quot;/&gt;&lt;wsp:rsid wsp:val=&quot;00EF78CA&quot;/&gt;&lt;wsp:rsid wsp:val=&quot;00F04692&quot;/&gt;&lt;wsp:rsid wsp:val=&quot;00F376B1&quot;/&gt;&lt;wsp:rsid wsp:val=&quot;00F57D30&quot;/&gt;&lt;wsp:rsid wsp:val=&quot;00F62938&quot;/&gt;&lt;wsp:rsid wsp:val=&quot;00F8127D&quot;/&gt;&lt;wsp:rsid wsp:val=&quot;00F875AD&quot;/&gt;&lt;wsp:rsid wsp:val=&quot;00F95D78&quot;/&gt;&lt;wsp:rsid wsp:val=&quot;00FC4E37&quot;/&gt;&lt;wsp:rsid wsp:val=&quot;00FD1C98&quot;/&gt;&lt;wsp:rsid wsp:val=&quot;00FD361E&quot;/&gt;&lt;wsp:rsid wsp:val=&quot;00FF1CD7&quot;/&gt;&lt;wsp:rsid wsp:val=&quot;00FF6A3E&quot;/&gt;&lt;wsp:rsid wsp:val=&quot;07A32B23&quot;/&gt;&lt;wsp:rsid wsp:val=&quot;08E92479&quot;/&gt;&lt;wsp:rsid wsp:val=&quot;0B4374C1&quot;/&gt;&lt;wsp:rsid wsp:val=&quot;10045BDC&quot;/&gt;&lt;wsp:rsid wsp:val=&quot;10435CDE&quot;/&gt;&lt;wsp:rsid wsp:val=&quot;10F9002C&quot;/&gt;&lt;wsp:rsid wsp:val=&quot;138228A6&quot;/&gt;&lt;wsp:rsid wsp:val=&quot;1BDE2589&quot;/&gt;&lt;wsp:rsid wsp:val=&quot;1D9B4C90&quot;/&gt;&lt;wsp:rsid wsp:val=&quot;1EA23447&quot;/&gt;&lt;wsp:rsid wsp:val=&quot;1F220451&quot;/&gt;&lt;wsp:rsid wsp:val=&quot;21044B63&quot;/&gt;&lt;wsp:rsid wsp:val=&quot;2BAC387E&quot;/&gt;&lt;wsp:rsid wsp:val=&quot;414D6E97&quot;/&gt;&lt;wsp:rsid wsp:val=&quot;468305D0&quot;/&gt;&lt;wsp:rsid wsp:val=&quot;490877B4&quot;/&gt;&lt;wsp:rsid wsp:val=&quot;4AD93E52&quot;/&gt;&lt;wsp:rsid wsp:val=&quot;4E683DFA&quot;/&gt;&lt;wsp:rsid wsp:val=&quot;4E7C132A&quot;/&gt;&lt;wsp:rsid wsp:val=&quot;4F2F2663&quot;/&gt;&lt;wsp:rsid wsp:val=&quot;527D7482&quot;/&gt;&lt;wsp:rsid wsp:val=&quot;52F45918&quot;/&gt;&lt;wsp:rsid wsp:val=&quot;588D4BFA&quot;/&gt;&lt;wsp:rsid wsp:val=&quot;5ADF54B5&quot;/&gt;&lt;wsp:rsid wsp:val=&quot;67296AEE&quot;/&gt;&lt;wsp:rsid wsp:val=&quot;68103152&quot;/&gt;&lt;wsp:rsid wsp:val=&quot;68C4021E&quot;/&gt;&lt;wsp:rsid wsp:val=&quot;6A500618&quot;/&gt;&lt;wsp:rsid wsp:val=&quot;79BC6C95&quot;/&gt;&lt;/wsp:rsids&gt;&lt;/w:docPr&gt;&lt;w:body&gt;&lt;wx:sect&gt;&lt;w:p wsp:rsidR=&quot;00000000&quot; wsp:rsidRDefault=&quot;00EA1D3D&quot; wsp:rsidP=&quot;00EA1D3D&quot;&gt;&lt;m:oMathPara&gt;&lt;m:oMath&gt;&lt;m:f&gt;&lt;m:fPr&gt;&lt;m:ctrlPr&gt;&lt;aml:annotation aml:id=&quot;0&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fPr&gt;&lt;m:num&gt;&lt;m:sSub&gt;&lt;m:sSubPr&gt;&lt;m:ctrlPr&gt;&lt;aml:annotation aml:id=&quot;1&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2&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3&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1&lt;/m:t&gt;&lt;/aml:content&gt;&lt;/aml:annotation&gt;&lt;/m:r&gt;&lt;/m:sub&gt;&lt;/m:sSub&gt;&lt;m:r&gt;&lt;aml:annotation aml:id=&quot;4&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5&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6&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7&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1&lt;/m:t&gt;&lt;/aml:content&gt;&lt;/aml:annotation&gt;&lt;/m:r&gt;&lt;/m:sub&gt;&lt;/m:sSub&gt;&lt;m:r&gt;&lt;aml:annotation aml:id=&quot;8&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9&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0&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11&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2&lt;/m:t&gt;&lt;/aml:content&gt;&lt;/aml:annotation&gt;&lt;/m:r&gt;&lt;/m:sub&gt;&lt;/m:sSub&gt;&lt;m:r&gt;&lt;aml:annotation aml:id=&quot;12&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13&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4&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15&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2&lt;/m:t&gt;&lt;/aml:content&gt;&lt;/aml:annotation&gt;&lt;/m:r&gt;&lt;/m:sub&gt;&lt;/m:sSub&gt;&lt;m:r&gt;&lt;aml:annotation aml:id=&quot;16&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17&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18&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A&lt;/m:t&gt;&lt;/aml:content&gt;&lt;/aml:annotation&gt;&lt;/m:r&gt;&lt;/m:e&gt;&lt;m:sub&gt;&lt;m:r&gt;&lt;aml:annotation aml:id=&quot;19&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n&lt;/m:t&gt;&lt;/aml:content&gt;&lt;/aml:annotation&gt;&lt;/m:r&gt;&lt;/m:sub&gt;&lt;/m:sSub&gt;&lt;m:r&gt;&lt;aml:annotation aml:id=&quot;20&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lt;/m:t&gt;&lt;/aml:content&gt;&lt;/aml:annotation&gt;&lt;/m:r&gt;&lt;m:sSub&gt;&lt;m:sSubPr&gt;&lt;m:ctrlPr&gt;&lt;aml:annotation aml:id=&quot;21&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sSubPr&gt;&lt;m:e&gt;&lt;m:r&gt;&lt;aml:annotation aml:id=&quot;22&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m&lt;/m:t&gt;&lt;/aml:content&gt;&lt;/aml:annotation&gt;&lt;/m:r&gt;&lt;/m:e&gt;&lt;m:sub&gt;&lt;m:r&gt;&lt;aml:annotation aml:id=&quot;23&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n&lt;/m:t&gt;&lt;/aml:content&gt;&lt;/aml:annotation&gt;&lt;/m:r&gt;&lt;/m:sub&gt;&lt;/m:sSub&gt;&lt;/m:num&gt;&lt;m:den&gt;&lt;m:eqArr&gt;&lt;m:eqArrPr&gt;&lt;m:ctrlPr&gt;&lt;aml:annotation aml:id=&quot;24&quot; w:type=&quot;Word.Insertion&quot; aml:author=&quot;dreamsummit&quot; aml:createdate=&quot;2025-03-14T09:33:00Z&quot;&gt;&lt;aml:content&gt;&lt;w:rPr&gt;&lt;w:rFonts w:ascii=&quot;Cambria Math&quot; w:fareast=&quot;仿宋_GB2312&quot; w:h-ansi=&quot;Cambria Math&quot; w:cs=&quot;仿宋&quot;/&gt;&lt;wx:font wx:val=&quot;Cambria Math&quot;/&gt;&lt;w:sz-cs w:val=&quot;31&quot;/&gt;&lt;/w:rPr&gt;&lt;/aml:content&gt;&lt;/aml:annotation&gt;&lt;/m:ctrlPr&gt;&lt;/m:eqArrPr&gt;&lt;m:e&gt;&lt;m:r&gt;&lt;aml:annotation aml:id=&quot;25&quot; w:type=&quot;Word.Insertion&quot; aml:author=&quot;dreamsummit&quot; aml:createdate=&quot;2025-03-14T09:33:00Z&quot;&gt;&lt;aml:content&gt;&lt;m:rPr&gt;&lt;m:sty m:val=&quot;p&quot;/&gt;&lt;/m:rPr&gt;&lt;w:rPr&gt;&lt;w:rFonts w:ascii=&quot;Cambria Math&quot; w:fareast=&quot;仿宋_GB2312&quot; w:h-ansi=&quot;Cambria Math&quot; w:cs=&quot;仿宋&quot;/&gt;&lt;wx:font wx:val=&quot;Cambria Math&quot;/&gt;&lt;w:sz-cs w:val=&quot;31&quot;/&gt;&lt;/w:rPr&gt;&lt;m:t&gt;k&lt;/m:t&gt;&lt;/aml:content&gt;&lt;/aml:annotation&gt;&lt;/m:r&gt;&lt;/m:e&gt;&lt;m:e/&gt;&lt;m:e/&gt;&lt;/m:eqAr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ascii="仿宋_GB2312" w:hAnsi="仿宋" w:eastAsia="仿宋_GB2312" w:cs="仿宋"/>
          <w:szCs w:val="31"/>
        </w:rPr>
        <w:fldChar w:fldCharType="end"/>
      </w:r>
    </w:p>
    <w:p>
      <w:pPr>
        <w:ind w:firstLine="200"/>
        <w:rPr>
          <w:rFonts w:hint="eastAsia" w:ascii="宋体" w:hAnsi="宋体" w:cs="宋体"/>
          <w:sz w:val="21"/>
          <w:szCs w:val="21"/>
        </w:rPr>
      </w:pPr>
      <w:r>
        <w:rPr>
          <w:rFonts w:hint="eastAsia" w:ascii="宋体" w:hAnsi="宋体" w:cs="宋体"/>
          <w:sz w:val="21"/>
          <w:szCs w:val="21"/>
        </w:rPr>
        <w:t>(“A”代表必修课、专业选修课考试成绩，“m”代表必修课、专业选修课学分，“k”为必修课和专业选修课学分总和；考核成绩若为等级，则以下列方式计算：优折算为90分，良折算为80分，中折算为70分，合格折算为60分，不合格以0分计。)</w:t>
      </w:r>
    </w:p>
    <w:p>
      <w:pPr>
        <w:rPr>
          <w:rFonts w:hint="eastAsia" w:ascii="宋体" w:hAnsi="宋体" w:cs="宋体"/>
          <w:b/>
          <w:bCs/>
          <w:sz w:val="21"/>
          <w:szCs w:val="21"/>
        </w:rPr>
      </w:pPr>
      <w:r>
        <w:rPr>
          <w:rFonts w:hint="eastAsia" w:ascii="宋体" w:hAnsi="宋体" w:cs="宋体"/>
          <w:b/>
          <w:bCs/>
          <w:sz w:val="21"/>
          <w:szCs w:val="21"/>
        </w:rPr>
        <w:t xml:space="preserve">    2、加减分：</w:t>
      </w:r>
    </w:p>
    <w:p>
      <w:pPr>
        <w:ind w:firstLine="400" w:firstLineChars="194"/>
        <w:rPr>
          <w:rFonts w:hint="eastAsia" w:ascii="宋体" w:hAnsi="宋体" w:cs="宋体"/>
          <w:sz w:val="21"/>
          <w:szCs w:val="21"/>
        </w:rPr>
      </w:pPr>
      <w:r>
        <w:rPr>
          <w:rFonts w:hint="eastAsia" w:ascii="宋体" w:hAnsi="宋体" w:cs="宋体"/>
          <w:sz w:val="21"/>
          <w:szCs w:val="21"/>
        </w:rPr>
        <w:t>（1）在各类学科竞赛与创新创业竞赛中获奖者加0.</w:t>
      </w:r>
      <w:r>
        <w:rPr>
          <w:rFonts w:ascii="宋体" w:hAnsi="宋体" w:cs="宋体"/>
          <w:sz w:val="21"/>
          <w:szCs w:val="21"/>
        </w:rPr>
        <w:t>1</w:t>
      </w:r>
      <w:r>
        <w:rPr>
          <w:rFonts w:hint="eastAsia" w:ascii="宋体" w:hAnsi="宋体" w:cs="宋体"/>
          <w:sz w:val="21"/>
          <w:szCs w:val="21"/>
        </w:rPr>
        <w:t>-5分。“各类学科竞赛与创新创业竞赛”是指由学校统一组织学生参加的各类竞赛，不包括个人参加的各类报刊、杂志以及网络平台举办的知识竞赛。在各类竞赛中获得第一、二、三、四等级等奖，根据</w:t>
      </w:r>
      <w:r>
        <w:rPr>
          <w:rFonts w:hint="eastAsia" w:ascii="宋体" w:hAnsi="宋体" w:cs="宋体"/>
          <w:b/>
          <w:bCs/>
          <w:sz w:val="21"/>
          <w:szCs w:val="21"/>
        </w:rPr>
        <w:t>《南通大学大学生学科竞赛组织管理实施办法（修订 ）》通大教〔 2024 〕72号文件</w:t>
      </w:r>
      <w:r>
        <w:rPr>
          <w:rFonts w:hint="eastAsia" w:ascii="宋体" w:hAnsi="宋体" w:cs="宋体"/>
          <w:sz w:val="21"/>
          <w:szCs w:val="21"/>
        </w:rPr>
        <w:t>认定相应级别（如下表格），给予适当加分。</w:t>
      </w:r>
    </w:p>
    <w:p>
      <w:pPr>
        <w:ind w:firstLine="400" w:firstLineChars="194"/>
        <w:rPr>
          <w:rFonts w:hint="eastAsia" w:ascii="宋体" w:hAnsi="宋体" w:cs="宋体"/>
          <w:sz w:val="21"/>
          <w:szCs w:val="21"/>
        </w:rPr>
      </w:pPr>
      <w:r>
        <w:rPr>
          <w:rFonts w:hint="eastAsia" w:ascii="宋体" w:hAnsi="宋体" w:cs="宋体"/>
          <w:sz w:val="21"/>
          <w:szCs w:val="21"/>
        </w:rPr>
        <w:t>集体项目原则上根据排名先后顺序申请加分，排名第一乘以系数0.5，排名第二乘以系数0.25，排名第三乘以系数0.125，排名第四及以后乘以系数0.075；或者由项目指导老师、项目负责人提供平均分配的证明材料，可申请项目所有成员平均加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1510"/>
        <w:gridCol w:w="1510"/>
        <w:gridCol w:w="1523"/>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shd w:val="clear" w:color="auto" w:fill="auto"/>
            <w:noWrap w:val="0"/>
            <w:vAlign w:val="top"/>
          </w:tcPr>
          <w:p>
            <w:pPr>
              <w:jc w:val="center"/>
              <w:rPr>
                <w:rFonts w:hint="eastAsia" w:ascii="宋体" w:hAnsi="宋体" w:cs="宋体"/>
                <w:sz w:val="21"/>
                <w:szCs w:val="21"/>
              </w:rPr>
            </w:pPr>
          </w:p>
        </w:tc>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I类甲层次</w:t>
            </w:r>
          </w:p>
        </w:tc>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I类乙层次</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I类丙、丁层次</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II类</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III类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第一等级</w:t>
            </w:r>
          </w:p>
        </w:tc>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5</w:t>
            </w:r>
          </w:p>
        </w:tc>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4</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3</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2</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第二等级</w:t>
            </w:r>
          </w:p>
        </w:tc>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4.5</w:t>
            </w:r>
          </w:p>
        </w:tc>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3.5</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2.5</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1.5</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第三等级</w:t>
            </w:r>
          </w:p>
        </w:tc>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4</w:t>
            </w:r>
          </w:p>
        </w:tc>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3</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2</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1</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第四等级</w:t>
            </w:r>
          </w:p>
        </w:tc>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3</w:t>
            </w:r>
            <w:r>
              <w:rPr>
                <w:rFonts w:ascii="宋体" w:hAnsi="宋体" w:cs="宋体"/>
                <w:sz w:val="21"/>
                <w:szCs w:val="21"/>
              </w:rPr>
              <w:t>.5</w:t>
            </w:r>
          </w:p>
        </w:tc>
        <w:tc>
          <w:tcPr>
            <w:tcW w:w="1642"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2</w:t>
            </w:r>
            <w:r>
              <w:rPr>
                <w:rFonts w:ascii="宋体" w:hAnsi="宋体" w:cs="宋体"/>
                <w:sz w:val="21"/>
                <w:szCs w:val="21"/>
              </w:rPr>
              <w:t>.5</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1</w:t>
            </w:r>
            <w:r>
              <w:rPr>
                <w:rFonts w:ascii="宋体" w:hAnsi="宋体" w:cs="宋体"/>
                <w:sz w:val="21"/>
                <w:szCs w:val="21"/>
              </w:rPr>
              <w:t>.5</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0</w:t>
            </w:r>
            <w:r>
              <w:rPr>
                <w:rFonts w:ascii="宋体" w:hAnsi="宋体" w:cs="宋体"/>
                <w:sz w:val="21"/>
                <w:szCs w:val="21"/>
              </w:rPr>
              <w:t>.5</w:t>
            </w:r>
          </w:p>
        </w:tc>
        <w:tc>
          <w:tcPr>
            <w:tcW w:w="1643" w:type="dxa"/>
            <w:shd w:val="clear" w:color="auto" w:fill="auto"/>
            <w:noWrap w:val="0"/>
            <w:vAlign w:val="top"/>
          </w:tcPr>
          <w:p>
            <w:pPr>
              <w:jc w:val="center"/>
              <w:rPr>
                <w:rFonts w:hint="eastAsia" w:ascii="宋体" w:hAnsi="宋体" w:cs="宋体"/>
                <w:sz w:val="21"/>
                <w:szCs w:val="21"/>
              </w:rPr>
            </w:pPr>
            <w:r>
              <w:rPr>
                <w:rFonts w:hint="eastAsia" w:ascii="宋体" w:hAnsi="宋体" w:cs="宋体"/>
                <w:sz w:val="21"/>
                <w:szCs w:val="21"/>
              </w:rPr>
              <w:t>0</w:t>
            </w:r>
            <w:r>
              <w:rPr>
                <w:rFonts w:ascii="宋体" w:hAnsi="宋体" w:cs="宋体"/>
                <w:sz w:val="21"/>
                <w:szCs w:val="21"/>
              </w:rPr>
              <w:t>.1</w:t>
            </w:r>
          </w:p>
        </w:tc>
      </w:tr>
    </w:tbl>
    <w:p>
      <w:pPr>
        <w:ind w:firstLine="400" w:firstLineChars="194"/>
        <w:rPr>
          <w:rFonts w:hint="eastAsia" w:ascii="宋体" w:hAnsi="宋体" w:cs="宋体"/>
          <w:sz w:val="21"/>
          <w:szCs w:val="21"/>
        </w:rPr>
      </w:pPr>
    </w:p>
    <w:p>
      <w:pPr>
        <w:ind w:firstLine="400" w:firstLineChars="194"/>
        <w:rPr>
          <w:rFonts w:ascii="宋体" w:hAnsi="宋体" w:cs="宋体"/>
          <w:b/>
          <w:sz w:val="21"/>
          <w:szCs w:val="21"/>
        </w:rPr>
      </w:pPr>
      <w:r>
        <w:rPr>
          <w:rFonts w:hint="eastAsia" w:ascii="宋体" w:hAnsi="宋体" w:cs="宋体"/>
          <w:b/>
          <w:sz w:val="21"/>
          <w:szCs w:val="21"/>
        </w:rPr>
        <w:t>*竞赛额外奖励加分说明（每年度最多可申请</w:t>
      </w:r>
      <w:r>
        <w:rPr>
          <w:rFonts w:ascii="宋体" w:hAnsi="宋体" w:cs="宋体"/>
          <w:b/>
          <w:sz w:val="21"/>
          <w:szCs w:val="21"/>
        </w:rPr>
        <w:t>3</w:t>
      </w:r>
      <w:r>
        <w:rPr>
          <w:rFonts w:hint="eastAsia" w:ascii="宋体" w:hAnsi="宋体" w:cs="宋体"/>
          <w:b/>
          <w:sz w:val="21"/>
          <w:szCs w:val="21"/>
        </w:rPr>
        <w:t>项，具体加分分值根据获奖等级确定）</w:t>
      </w:r>
    </w:p>
    <w:p>
      <w:pPr>
        <w:ind w:firstLine="400" w:firstLineChars="194"/>
        <w:rPr>
          <w:rFonts w:ascii="宋体" w:hAnsi="宋体" w:cs="宋体"/>
          <w:sz w:val="21"/>
          <w:szCs w:val="21"/>
        </w:rPr>
      </w:pPr>
      <w:r>
        <w:rPr>
          <w:rFonts w:hint="eastAsia" w:ascii="宋体" w:hAnsi="宋体" w:cs="宋体"/>
          <w:sz w:val="21"/>
          <w:szCs w:val="21"/>
        </w:rPr>
        <w:t>参加中国“互联网+”大学生创新创业大赛、“挑战杯”全国大学生课外学术科技作品竞赛、“挑战杯”全国大学生创业计划竞赛，参加院级选拔赛且获等级奖每个成员均可申请加0.2 分，参加校级选拔赛每个成员均可在成功参赛后（未获等级奖）申请加0.6分，校级选拔赛每个成员均可在获等级奖加分后额外申请加1分，省赛每个成员均可在获奖加分后额外申请加2-3分，国赛每个成员均可在获奖加分后额外申请加4-6分；</w:t>
      </w:r>
    </w:p>
    <w:p>
      <w:pPr>
        <w:ind w:firstLine="400" w:firstLineChars="194"/>
        <w:rPr>
          <w:rFonts w:ascii="宋体" w:hAnsi="宋体" w:cs="宋体"/>
          <w:sz w:val="21"/>
          <w:szCs w:val="21"/>
        </w:rPr>
      </w:pPr>
      <w:r>
        <w:rPr>
          <w:rFonts w:hint="eastAsia" w:ascii="宋体" w:hAnsi="宋体" w:cs="宋体"/>
          <w:sz w:val="21"/>
          <w:szCs w:val="21"/>
        </w:rPr>
        <w:t>参加全国大学生数学建模竞赛、“外研杯·国才杯”全国大学生外语能力大赛的同学在国赛获奖加分后每个成员可额外申请3-5分，在校赛获奖加分每个成员可额外申请0</w:t>
      </w:r>
      <w:r>
        <w:rPr>
          <w:rFonts w:ascii="宋体" w:hAnsi="宋体" w:cs="宋体"/>
          <w:sz w:val="21"/>
          <w:szCs w:val="21"/>
        </w:rPr>
        <w:t>.5</w:t>
      </w: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分；</w:t>
      </w:r>
    </w:p>
    <w:p>
      <w:pPr>
        <w:ind w:firstLine="400" w:firstLineChars="194"/>
        <w:rPr>
          <w:rFonts w:ascii="宋体" w:hAnsi="宋体" w:cs="宋体"/>
          <w:sz w:val="21"/>
          <w:szCs w:val="21"/>
        </w:rPr>
      </w:pPr>
      <w:r>
        <w:rPr>
          <w:rFonts w:hint="eastAsia" w:ascii="宋体" w:hAnsi="宋体" w:cs="宋体"/>
          <w:sz w:val="21"/>
          <w:szCs w:val="21"/>
        </w:rPr>
        <w:t>参加I类丙层次竞赛的同学，在校赛获奖加分后每个成员可额外申请0.5-1分，在省赛获奖加分后每个成员可额外申请1-2分，在国赛获奖加分后每个成员可额外申请</w:t>
      </w:r>
      <w:r>
        <w:rPr>
          <w:rFonts w:ascii="宋体" w:hAnsi="宋体" w:cs="宋体"/>
          <w:sz w:val="21"/>
          <w:szCs w:val="21"/>
        </w:rPr>
        <w:t>2</w:t>
      </w: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分。</w:t>
      </w:r>
    </w:p>
    <w:p>
      <w:pPr>
        <w:ind w:firstLine="400" w:firstLineChars="194"/>
        <w:rPr>
          <w:rFonts w:ascii="宋体" w:hAnsi="宋体" w:cs="宋体"/>
          <w:sz w:val="21"/>
          <w:szCs w:val="21"/>
        </w:rPr>
      </w:pPr>
      <w:r>
        <w:rPr>
          <w:rFonts w:hint="eastAsia" w:ascii="宋体" w:hAnsi="宋体" w:cs="宋体"/>
          <w:sz w:val="21"/>
          <w:szCs w:val="21"/>
        </w:rPr>
        <w:t>（2）获国家、省、市、校级课题或项目者分别加5、3、2、1分，课题或项目立项、结项分别以1/2加分；集体项目主持人（负责人或排名第一）乘以系数0.5，其他成员乘以系数0.</w:t>
      </w:r>
      <w:r>
        <w:rPr>
          <w:rFonts w:ascii="宋体" w:hAnsi="宋体" w:cs="宋体"/>
          <w:sz w:val="21"/>
          <w:szCs w:val="21"/>
        </w:rPr>
        <w:t>2</w:t>
      </w:r>
      <w:r>
        <w:rPr>
          <w:rFonts w:hint="eastAsia" w:ascii="宋体" w:hAnsi="宋体" w:cs="宋体"/>
          <w:sz w:val="21"/>
          <w:szCs w:val="21"/>
        </w:rPr>
        <w:t>5。</w:t>
      </w:r>
    </w:p>
    <w:p>
      <w:pPr>
        <w:ind w:firstLine="412" w:firstLineChars="200"/>
        <w:jc w:val="left"/>
        <w:rPr>
          <w:rFonts w:hint="eastAsia" w:ascii="宋体" w:hAnsi="宋体" w:cs="宋体"/>
          <w:sz w:val="21"/>
          <w:szCs w:val="21"/>
        </w:rPr>
      </w:pPr>
      <w:r>
        <w:rPr>
          <w:rFonts w:hint="eastAsia" w:ascii="宋体" w:hAnsi="宋体" w:cs="宋体"/>
          <w:sz w:val="21"/>
          <w:szCs w:val="21"/>
        </w:rPr>
        <w:t>（3）在SCI、S</w:t>
      </w:r>
      <w:r>
        <w:rPr>
          <w:rFonts w:ascii="宋体" w:hAnsi="宋体" w:cs="宋体"/>
          <w:sz w:val="21"/>
          <w:szCs w:val="21"/>
        </w:rPr>
        <w:t>SCI</w:t>
      </w:r>
      <w:r>
        <w:rPr>
          <w:rFonts w:hint="eastAsia" w:ascii="宋体" w:hAnsi="宋体" w:cs="宋体"/>
          <w:sz w:val="21"/>
          <w:szCs w:val="21"/>
        </w:rPr>
        <w:t>和CSSCI期刊（含扩展版）上发表学术论文每篇加5分；在北图核心（含SCD）和人文核心期刊上发表学术论文每篇加3分；在公开发行的省级期刊上发表学术论文每篇加1分，省级期刊申请加分最多不超过3分。</w:t>
      </w:r>
    </w:p>
    <w:p>
      <w:pPr>
        <w:ind w:firstLine="412" w:firstLineChars="200"/>
        <w:jc w:val="left"/>
        <w:rPr>
          <w:rFonts w:ascii="宋体" w:hAnsi="宋体" w:cs="宋体"/>
          <w:sz w:val="21"/>
          <w:szCs w:val="21"/>
        </w:rPr>
      </w:pPr>
      <w:r>
        <w:rPr>
          <w:rFonts w:hint="eastAsia" w:ascii="宋体" w:hAnsi="宋体" w:cs="宋体"/>
          <w:sz w:val="21"/>
          <w:szCs w:val="21"/>
        </w:rPr>
        <w:t>学术论文必须为在具有正式刊号、在国内外公开发行，并能在中国知网数据库或其它学术数据库检索到的学术期刊上发表的文章，或在《南通日报》和其它省部级及以上报刊上刊登的理论文章，文章的第一单位必须是南通大学。如论文有多名作者，自然顺序第一作者乘以系数</w:t>
      </w:r>
      <w:r>
        <w:rPr>
          <w:rFonts w:ascii="宋体" w:hAnsi="宋体" w:cs="宋体"/>
          <w:sz w:val="21"/>
          <w:szCs w:val="21"/>
        </w:rPr>
        <w:t>1.0</w:t>
      </w:r>
      <w:r>
        <w:rPr>
          <w:rFonts w:hint="eastAsia" w:ascii="宋体" w:hAnsi="宋体" w:cs="宋体"/>
          <w:sz w:val="21"/>
          <w:szCs w:val="21"/>
        </w:rPr>
        <w:t>，自然顺序第二作者乘以系数</w:t>
      </w:r>
      <w:r>
        <w:rPr>
          <w:rFonts w:ascii="宋体" w:hAnsi="宋体" w:cs="宋体"/>
          <w:sz w:val="21"/>
          <w:szCs w:val="21"/>
        </w:rPr>
        <w:t>0.5</w:t>
      </w:r>
      <w:r>
        <w:rPr>
          <w:rFonts w:hint="eastAsia" w:ascii="宋体" w:hAnsi="宋体" w:cs="宋体"/>
          <w:sz w:val="21"/>
          <w:szCs w:val="21"/>
        </w:rPr>
        <w:t>，自然顺序第三作者乘以系数</w:t>
      </w:r>
      <w:r>
        <w:rPr>
          <w:rFonts w:ascii="宋体" w:hAnsi="宋体" w:cs="宋体"/>
          <w:sz w:val="21"/>
          <w:szCs w:val="21"/>
        </w:rPr>
        <w:t>0.3</w:t>
      </w:r>
      <w:r>
        <w:rPr>
          <w:rFonts w:hint="eastAsia" w:ascii="宋体" w:hAnsi="宋体" w:cs="宋体"/>
          <w:sz w:val="21"/>
          <w:szCs w:val="21"/>
        </w:rPr>
        <w:t>，自然顺序第四至第八作者乘以系数</w:t>
      </w:r>
      <w:r>
        <w:rPr>
          <w:rFonts w:ascii="宋体" w:hAnsi="宋体" w:cs="宋体"/>
          <w:sz w:val="21"/>
          <w:szCs w:val="21"/>
        </w:rPr>
        <w:t>0.1</w:t>
      </w:r>
      <w:r>
        <w:rPr>
          <w:rFonts w:hint="eastAsia" w:ascii="宋体" w:hAnsi="宋体" w:cs="宋体"/>
          <w:sz w:val="21"/>
          <w:szCs w:val="21"/>
        </w:rPr>
        <w:t>。</w:t>
      </w:r>
    </w:p>
    <w:p>
      <w:pPr>
        <w:ind w:firstLine="412" w:firstLineChars="200"/>
        <w:jc w:val="left"/>
        <w:rPr>
          <w:rFonts w:hint="eastAsia" w:ascii="宋体" w:hAnsi="宋体" w:cs="宋体"/>
          <w:sz w:val="21"/>
          <w:szCs w:val="21"/>
        </w:rPr>
      </w:pPr>
      <w:r>
        <w:rPr>
          <w:rFonts w:hint="eastAsia" w:ascii="宋体" w:hAnsi="宋体" w:cs="宋体"/>
          <w:sz w:val="21"/>
          <w:szCs w:val="21"/>
        </w:rPr>
        <w:t>（4）CET4达到425分加1分（本科期间仅计1次）；CET6达到425分加1.5分，达到500分加2分，达到550分加2.5分，达到600分加3分（每学年以六级最高分计分）。</w:t>
      </w:r>
    </w:p>
    <w:p>
      <w:pPr>
        <w:ind w:firstLine="400" w:firstLineChars="194"/>
        <w:rPr>
          <w:rFonts w:hint="eastAsia" w:ascii="宋体" w:hAnsi="宋体" w:cs="宋体"/>
          <w:sz w:val="21"/>
          <w:szCs w:val="21"/>
        </w:rPr>
      </w:pPr>
      <w:r>
        <w:rPr>
          <w:rFonts w:hint="eastAsia" w:ascii="宋体" w:hAnsi="宋体" w:cs="宋体"/>
          <w:sz w:val="21"/>
          <w:szCs w:val="21"/>
        </w:rPr>
        <w:t>雅思考试成绩达到5.5分或者托福考试达到50分加1.5分，雅思考试成绩达到6分或者托福考试达到60分加2分，雅思考试成绩达到6.5分或者托福考试达到80分加2.5分，雅思考试成绩达到7分或者托福考试达到95分加3分。（每学年以雅思考试或托福考试成绩最高分计分）</w:t>
      </w:r>
    </w:p>
    <w:p>
      <w:pPr>
        <w:ind w:firstLine="400" w:firstLineChars="194"/>
        <w:rPr>
          <w:rFonts w:hint="eastAsia"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）通过小语种的四六级考试可参照CET英语考试加分。包括：日语四级(CJT4)、日语六级(CJT6)、俄语四级(CRT4)、俄语六级(CRT6)、德语四级(CGT4)、德语六级(CGT6)和法语四级(CFT4)。通过日本语能力测试(JLPT)</w:t>
      </w:r>
      <w:r>
        <w:rPr>
          <w:rFonts w:ascii="宋体" w:hAnsi="宋体" w:cs="宋体"/>
          <w:sz w:val="21"/>
          <w:szCs w:val="21"/>
        </w:rPr>
        <w:t>,</w:t>
      </w:r>
      <w:r>
        <w:rPr>
          <w:rFonts w:hint="eastAsia" w:ascii="宋体" w:hAnsi="宋体" w:cs="宋体"/>
          <w:sz w:val="21"/>
          <w:szCs w:val="21"/>
        </w:rPr>
        <w:t>N</w:t>
      </w:r>
      <w:r>
        <w:rPr>
          <w:rFonts w:ascii="宋体" w:hAnsi="宋体" w:cs="宋体"/>
          <w:sz w:val="21"/>
          <w:szCs w:val="21"/>
        </w:rPr>
        <w:t>1</w:t>
      </w:r>
      <w:r>
        <w:rPr>
          <w:rFonts w:hint="eastAsia" w:ascii="宋体" w:hAnsi="宋体" w:cs="宋体"/>
          <w:sz w:val="21"/>
          <w:szCs w:val="21"/>
        </w:rPr>
        <w:t>等级加2分，N</w:t>
      </w:r>
      <w:r>
        <w:rPr>
          <w:rFonts w:ascii="宋体" w:hAnsi="宋体" w:cs="宋体"/>
          <w:sz w:val="21"/>
          <w:szCs w:val="21"/>
        </w:rPr>
        <w:t>2</w:t>
      </w:r>
      <w:r>
        <w:rPr>
          <w:rFonts w:hint="eastAsia" w:ascii="宋体" w:hAnsi="宋体" w:cs="宋体"/>
          <w:sz w:val="21"/>
          <w:szCs w:val="21"/>
        </w:rPr>
        <w:t>等级加1</w:t>
      </w:r>
      <w:r>
        <w:rPr>
          <w:rFonts w:ascii="宋体" w:hAnsi="宋体" w:cs="宋体"/>
          <w:sz w:val="21"/>
          <w:szCs w:val="21"/>
        </w:rPr>
        <w:t>.5</w:t>
      </w:r>
      <w:r>
        <w:rPr>
          <w:rFonts w:hint="eastAsia" w:ascii="宋体" w:hAnsi="宋体" w:cs="宋体"/>
          <w:sz w:val="21"/>
          <w:szCs w:val="21"/>
        </w:rPr>
        <w:t>分，N</w:t>
      </w:r>
      <w:r>
        <w:rPr>
          <w:rFonts w:ascii="宋体" w:hAnsi="宋体" w:cs="宋体"/>
          <w:sz w:val="21"/>
          <w:szCs w:val="21"/>
        </w:rPr>
        <w:t>3</w:t>
      </w:r>
      <w:r>
        <w:rPr>
          <w:rFonts w:hint="eastAsia" w:ascii="宋体" w:hAnsi="宋体" w:cs="宋体"/>
          <w:sz w:val="21"/>
          <w:szCs w:val="21"/>
        </w:rPr>
        <w:t>等级加1分。</w:t>
      </w:r>
    </w:p>
    <w:p>
      <w:pPr>
        <w:ind w:firstLine="400" w:firstLineChars="194"/>
        <w:rPr>
          <w:rFonts w:hint="eastAsia"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）获得发明专利：3分；实用新型专利：1.5分；软件著作权：1分；外观设计：0.5分。</w:t>
      </w:r>
    </w:p>
    <w:p>
      <w:pPr>
        <w:ind w:firstLine="400" w:firstLineChars="194"/>
        <w:rPr>
          <w:rFonts w:ascii="宋体" w:hAnsi="宋体" w:cs="宋体"/>
          <w:sz w:val="21"/>
          <w:szCs w:val="21"/>
        </w:rPr>
      </w:pP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专利按照公开、实审、授权分别乘以相应系数（</w:t>
      </w:r>
      <w:r>
        <w:rPr>
          <w:rFonts w:ascii="宋体" w:hAnsi="宋体" w:cs="宋体"/>
          <w:sz w:val="21"/>
          <w:szCs w:val="21"/>
        </w:rPr>
        <w:t>0.25</w:t>
      </w:r>
      <w:r>
        <w:rPr>
          <w:rFonts w:hint="eastAsia" w:ascii="宋体" w:hAnsi="宋体" w:cs="宋体"/>
          <w:sz w:val="21"/>
          <w:szCs w:val="21"/>
        </w:rPr>
        <w:t>、0.5、</w:t>
      </w:r>
      <w:r>
        <w:rPr>
          <w:rFonts w:ascii="宋体" w:hAnsi="宋体" w:cs="宋体"/>
          <w:sz w:val="21"/>
          <w:szCs w:val="21"/>
        </w:rPr>
        <w:t>1</w:t>
      </w:r>
      <w:r>
        <w:rPr>
          <w:rFonts w:hint="eastAsia" w:ascii="宋体" w:hAnsi="宋体" w:cs="宋体"/>
          <w:sz w:val="21"/>
          <w:szCs w:val="21"/>
        </w:rPr>
        <w:t>）；除软件著作权其申报联系人需为学生外，另三项排名需为前三名且按照排名系数计分（0.5、0.25、0.125）。</w:t>
      </w:r>
    </w:p>
    <w:p>
      <w:pPr>
        <w:ind w:firstLine="400" w:firstLineChars="194"/>
        <w:rPr>
          <w:rFonts w:ascii="宋体" w:hAns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）通过初级会计考试可申请加1分。（本科期间仅计1次）</w:t>
      </w:r>
    </w:p>
    <w:p>
      <w:pPr>
        <w:ind w:firstLine="400" w:firstLineChars="194"/>
        <w:rPr>
          <w:rFonts w:ascii="宋体" w:hAnsi="宋体" w:cs="宋体"/>
          <w:sz w:val="21"/>
          <w:szCs w:val="21"/>
        </w:rPr>
      </w:pPr>
      <w:r>
        <w:rPr>
          <w:rFonts w:hint="eastAsia" w:ascii="宋体" w:hAnsi="宋体" w:cs="宋体"/>
          <w:sz w:val="21"/>
          <w:szCs w:val="21"/>
        </w:rPr>
        <w:t>（</w:t>
      </w:r>
      <w:r>
        <w:rPr>
          <w:rFonts w:ascii="宋体" w:hAnsi="宋体" w:cs="宋体"/>
          <w:sz w:val="21"/>
          <w:szCs w:val="21"/>
        </w:rPr>
        <w:t>8</w:t>
      </w:r>
      <w:r>
        <w:rPr>
          <w:rFonts w:hint="eastAsia" w:ascii="宋体" w:hAnsi="宋体" w:cs="宋体"/>
          <w:sz w:val="21"/>
          <w:szCs w:val="21"/>
        </w:rPr>
        <w:t>）通过普通话水平测试二级甲等及以上，可申请加0</w:t>
      </w:r>
      <w:r>
        <w:rPr>
          <w:rFonts w:ascii="宋体" w:hAnsi="宋体" w:cs="宋体"/>
          <w:sz w:val="21"/>
          <w:szCs w:val="21"/>
        </w:rPr>
        <w:t>.2</w:t>
      </w:r>
      <w:r>
        <w:rPr>
          <w:rFonts w:hint="eastAsia" w:ascii="宋体" w:hAnsi="宋体" w:cs="宋体"/>
          <w:sz w:val="21"/>
          <w:szCs w:val="21"/>
        </w:rPr>
        <w:t>分。（本科期间仅计1次）</w:t>
      </w:r>
    </w:p>
    <w:p>
      <w:pPr>
        <w:ind w:firstLine="400" w:firstLineChars="194"/>
        <w:rPr>
          <w:rFonts w:hint="eastAsia" w:ascii="宋体" w:hAnsi="宋体" w:cs="宋体"/>
          <w:sz w:val="21"/>
          <w:szCs w:val="21"/>
        </w:rPr>
      </w:pPr>
      <w:r>
        <w:rPr>
          <w:rFonts w:hint="eastAsia" w:ascii="宋体" w:hAnsi="宋体" w:cs="宋体"/>
          <w:sz w:val="21"/>
          <w:szCs w:val="21"/>
        </w:rPr>
        <w:t>（9）通过计算机等级考试（含国家级、省级）三级加3分，二级加2分，一级加1分。（加分只按首次通过考试的时间节点为准。若首次通过时间的所属学年内，自己未提出加分申请的，则不再补加；国家级和省级计算机考试同一科目不重复加分；计算机一级本科期间仅计1次）。</w:t>
      </w:r>
    </w:p>
    <w:p>
      <w:pPr>
        <w:ind w:firstLine="392" w:firstLineChars="190"/>
        <w:rPr>
          <w:rFonts w:hint="eastAsia" w:ascii="宋体" w:hAnsi="宋体" w:cs="宋体"/>
          <w:b/>
          <w:bCs/>
          <w:sz w:val="21"/>
          <w:szCs w:val="21"/>
        </w:rPr>
      </w:pPr>
      <w:r>
        <w:rPr>
          <w:rFonts w:hint="eastAsia" w:ascii="宋体" w:hAnsi="宋体" w:cs="宋体"/>
          <w:b/>
          <w:bCs/>
          <w:sz w:val="21"/>
          <w:szCs w:val="21"/>
        </w:rPr>
        <w:t xml:space="preserve">（三）体育测评 </w:t>
      </w:r>
    </w:p>
    <w:p>
      <w:pPr>
        <w:ind w:left="790" w:leftChars="250" w:firstLine="206" w:firstLineChars="100"/>
        <w:rPr>
          <w:rFonts w:hint="eastAsia" w:ascii="宋体" w:hAnsi="宋体" w:cs="宋体"/>
          <w:sz w:val="21"/>
          <w:szCs w:val="21"/>
        </w:rPr>
      </w:pPr>
      <w:r>
        <w:rPr>
          <w:rFonts w:hint="eastAsia" w:ascii="宋体" w:hAnsi="宋体" w:cs="宋体"/>
          <w:sz w:val="21"/>
          <w:szCs w:val="21"/>
        </w:rPr>
        <w:t>体育成绩（满分100分）＝测评分＋加减分，体育总成绩不超过一百分。</w:t>
      </w:r>
    </w:p>
    <w:p>
      <w:pPr>
        <w:ind w:left="790" w:leftChars="250" w:firstLine="206" w:firstLineChars="100"/>
        <w:rPr>
          <w:rFonts w:hint="eastAsia" w:ascii="宋体" w:hAnsi="宋体" w:cs="宋体"/>
          <w:b/>
          <w:bCs/>
          <w:sz w:val="21"/>
          <w:szCs w:val="21"/>
        </w:rPr>
      </w:pPr>
      <w:r>
        <w:rPr>
          <w:rFonts w:hint="eastAsia" w:ascii="宋体" w:hAnsi="宋体" w:cs="宋体"/>
          <w:b/>
          <w:bCs/>
          <w:sz w:val="21"/>
          <w:szCs w:val="21"/>
        </w:rPr>
        <w:t>1、非体育专业学生体育成绩计算</w:t>
      </w:r>
    </w:p>
    <w:p>
      <w:pPr>
        <w:ind w:firstLine="515" w:firstLineChars="250"/>
        <w:rPr>
          <w:rFonts w:hint="eastAsia" w:ascii="宋体" w:hAnsi="宋体" w:cs="宋体"/>
          <w:sz w:val="21"/>
          <w:szCs w:val="21"/>
        </w:rPr>
      </w:pPr>
      <w:r>
        <w:rPr>
          <w:rFonts w:hint="eastAsia" w:ascii="宋体" w:hAnsi="宋体" w:cs="宋体"/>
          <w:sz w:val="21"/>
          <w:szCs w:val="21"/>
        </w:rPr>
        <w:t>（1）一、二年级学生，测评分计算公式如下：</w:t>
      </w:r>
    </w:p>
    <w:p>
      <w:pPr>
        <w:ind w:firstLine="412" w:firstLineChars="200"/>
        <w:rPr>
          <w:rFonts w:ascii="宋体" w:hAnsi="宋体" w:cs="宋体"/>
          <w:sz w:val="21"/>
          <w:szCs w:val="21"/>
        </w:rPr>
      </w:pPr>
      <w:r>
        <w:rPr>
          <w:rFonts w:hint="eastAsia" w:ascii="宋体" w:hAnsi="宋体" w:cs="宋体"/>
          <w:sz w:val="21"/>
          <w:szCs w:val="21"/>
        </w:rPr>
        <w:t>测评分＝{（上学期体育课成绩＋下学期体育课成绩）÷2}×50%+《国家学生体质健康标准》测试成绩×50%</w:t>
      </w:r>
    </w:p>
    <w:p>
      <w:pPr>
        <w:ind w:firstLine="515" w:firstLineChars="250"/>
        <w:rPr>
          <w:rFonts w:hint="eastAsia" w:ascii="宋体" w:hAnsi="宋体" w:cs="宋体"/>
          <w:sz w:val="21"/>
          <w:szCs w:val="21"/>
        </w:rPr>
      </w:pPr>
      <w:r>
        <w:rPr>
          <w:rFonts w:hint="eastAsia" w:ascii="宋体" w:hAnsi="宋体" w:cs="宋体"/>
          <w:sz w:val="21"/>
          <w:szCs w:val="21"/>
        </w:rPr>
        <w:t>（2）未开设体育课的三、四年级学生，测评分成绩为《国家学生体质健康标准》测试成绩。</w:t>
      </w:r>
    </w:p>
    <w:p>
      <w:pPr>
        <w:ind w:firstLine="515" w:firstLineChars="250"/>
        <w:rPr>
          <w:rFonts w:ascii="宋体" w:hAnsi="宋体" w:cs="宋体"/>
          <w:sz w:val="21"/>
          <w:szCs w:val="21"/>
        </w:rPr>
      </w:pPr>
      <w:r>
        <w:rPr>
          <w:rFonts w:hint="eastAsia" w:ascii="宋体" w:hAnsi="宋体" w:cs="宋体"/>
          <w:sz w:val="21"/>
          <w:szCs w:val="21"/>
        </w:rPr>
        <w:t xml:space="preserve">（3）上保健体育课的学生其体育成绩以合格（60分）计，不合格以实际成绩计。 </w:t>
      </w:r>
    </w:p>
    <w:p>
      <w:pPr>
        <w:ind w:firstLine="515" w:firstLineChars="250"/>
        <w:rPr>
          <w:rFonts w:hint="eastAsia"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）《国家学生体质健康标准》测试成绩不及格，不得参评奖学金和荣誉称号。</w:t>
      </w:r>
    </w:p>
    <w:p>
      <w:pPr>
        <w:ind w:left="790" w:leftChars="250" w:firstLine="206" w:firstLineChars="100"/>
        <w:rPr>
          <w:rFonts w:hint="eastAsia" w:ascii="宋体" w:hAnsi="宋体" w:cs="宋体"/>
          <w:sz w:val="21"/>
          <w:szCs w:val="21"/>
        </w:rPr>
      </w:pPr>
      <w:r>
        <w:rPr>
          <w:rFonts w:hint="eastAsia" w:ascii="宋体" w:hAnsi="宋体" w:cs="宋体"/>
          <w:sz w:val="21"/>
          <w:szCs w:val="21"/>
        </w:rPr>
        <w:t>2、加减分</w:t>
      </w:r>
    </w:p>
    <w:p>
      <w:pPr>
        <w:ind w:left="790" w:leftChars="250" w:firstLine="206" w:firstLineChars="100"/>
        <w:rPr>
          <w:rFonts w:hint="eastAsia" w:ascii="宋体" w:hAnsi="宋体" w:cs="宋体"/>
          <w:sz w:val="21"/>
          <w:szCs w:val="21"/>
        </w:rPr>
      </w:pPr>
      <w:r>
        <w:rPr>
          <w:rFonts w:hint="eastAsia" w:ascii="宋体" w:hAnsi="宋体" w:cs="宋体"/>
          <w:sz w:val="21"/>
          <w:szCs w:val="21"/>
        </w:rPr>
        <mc:AlternateContent>
          <mc:Choice Requires="wpg">
            <w:drawing>
              <wp:anchor distT="0" distB="0" distL="114300" distR="114300" simplePos="0" relativeHeight="251659264" behindDoc="0" locked="0" layoutInCell="1" allowOverlap="1">
                <wp:simplePos x="0" y="0"/>
                <wp:positionH relativeFrom="column">
                  <wp:posOffset>71120</wp:posOffset>
                </wp:positionH>
                <wp:positionV relativeFrom="paragraph">
                  <wp:posOffset>358140</wp:posOffset>
                </wp:positionV>
                <wp:extent cx="1539875" cy="801370"/>
                <wp:effectExtent l="1270" t="3175" r="20955" b="14605"/>
                <wp:wrapNone/>
                <wp:docPr id="4" name="__TH_G22五号69"/>
                <wp:cNvGraphicFramePr/>
                <a:graphic xmlns:a="http://schemas.openxmlformats.org/drawingml/2006/main">
                  <a:graphicData uri="http://schemas.microsoft.com/office/word/2010/wordprocessingGroup">
                    <wpg:wgp>
                      <wpg:cNvGrpSpPr/>
                      <wpg:grpSpPr>
                        <a:xfrm>
                          <a:off x="0" y="0"/>
                          <a:ext cx="1539875" cy="801370"/>
                          <a:chOff x="1485" y="7237"/>
                          <a:chExt cx="2653" cy="1290"/>
                        </a:xfrm>
                        <a:effectLst/>
                      </wpg:grpSpPr>
                      <wps:wsp>
                        <wps:cNvPr id="5" name="__TH_L67"/>
                        <wps:cNvCnPr>
                          <a:cxnSpLocks noChangeShapeType="1"/>
                        </wps:cNvCnPr>
                        <wps:spPr bwMode="auto">
                          <a:xfrm>
                            <a:off x="2811" y="7237"/>
                            <a:ext cx="1327" cy="1290"/>
                          </a:xfrm>
                          <a:prstGeom prst="line">
                            <a:avLst/>
                          </a:prstGeom>
                          <a:noFill/>
                          <a:ln w="6350">
                            <a:solidFill>
                              <a:srgbClr val="000000"/>
                            </a:solidFill>
                            <a:round/>
                          </a:ln>
                          <a:effectLst/>
                        </wps:spPr>
                        <wps:bodyPr/>
                      </wps:wsp>
                      <wps:wsp>
                        <wps:cNvPr id="6" name="__TH_L68"/>
                        <wps:cNvCnPr>
                          <a:cxnSpLocks noChangeShapeType="1"/>
                        </wps:cNvCnPr>
                        <wps:spPr bwMode="auto">
                          <a:xfrm>
                            <a:off x="1485" y="7882"/>
                            <a:ext cx="2653" cy="645"/>
                          </a:xfrm>
                          <a:prstGeom prst="line">
                            <a:avLst/>
                          </a:prstGeom>
                          <a:noFill/>
                          <a:ln w="6350">
                            <a:solidFill>
                              <a:srgbClr val="000000"/>
                            </a:solidFill>
                            <a:round/>
                          </a:ln>
                          <a:effectLst/>
                        </wps:spPr>
                        <wps:bodyPr/>
                      </wps:wsp>
                    </wpg:wgp>
                  </a:graphicData>
                </a:graphic>
              </wp:anchor>
            </w:drawing>
          </mc:Choice>
          <mc:Fallback>
            <w:pict>
              <v:group id="__TH_G22五号69" o:spid="_x0000_s1026" o:spt="203" style="position:absolute;left:0pt;margin-left:5.6pt;margin-top:28.2pt;height:63.1pt;width:121.25pt;z-index:251659264;mso-width-relative:page;mso-height-relative:page;" coordorigin="1485,7237" coordsize="2653,1290" o:gfxdata="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rNqs22QAAAAkBAAAPAAAAAAAA&#10;AAEAIAAAACIAAABkcnMvZG93bnJldi54bWxQSwECFAAUAAAACACHTuJAIfRAQIMCAADRBgAADgAA&#10;AAAAAAABACAAAAAoAQAAZHJzL2Uyb0RvYy54bWxQSwUGAAAAAAYABgBZAQAAHQYAAAAA&#10;">
                <o:lock v:ext="edit" aspectratio="f"/>
                <v:line id="__TH_L67" o:spid="_x0000_s1026" o:spt="20" style="position:absolute;left:2811;top:7237;height:1290;width:1327;"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68" o:spid="_x0000_s1026" o:spt="20" style="position:absolute;left:1485;top:7882;height:645;width:2653;"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group>
            </w:pict>
          </mc:Fallback>
        </mc:AlternateContent>
      </w:r>
      <w:r>
        <w:rPr>
          <w:rFonts w:hint="eastAsia" w:ascii="宋体" w:hAnsi="宋体" w:cs="宋体"/>
          <w:sz w:val="21"/>
          <w:szCs w:val="21"/>
        </w:rPr>
        <w:t>（1）参加体育竞赛的加分标准</w:t>
      </w:r>
    </w:p>
    <w:tbl>
      <w:tblPr>
        <w:tblStyle w:val="10"/>
        <w:tblW w:w="897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1465"/>
        <w:gridCol w:w="676"/>
        <w:gridCol w:w="636"/>
        <w:gridCol w:w="636"/>
        <w:gridCol w:w="730"/>
        <w:gridCol w:w="542"/>
        <w:gridCol w:w="636"/>
        <w:gridCol w:w="63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378" w:type="dxa"/>
            <w:noWrap w:val="0"/>
            <w:vAlign w:val="top"/>
          </w:tcPr>
          <w:p>
            <w:pPr>
              <w:tabs>
                <w:tab w:val="left" w:pos="1896"/>
              </w:tabs>
              <w:ind w:firstLine="200"/>
              <w:rPr>
                <w:rFonts w:hint="eastAsia" w:ascii="宋体" w:hAnsi="宋体" w:cs="宋体"/>
                <w:sz w:val="21"/>
                <w:szCs w:val="21"/>
              </w:rPr>
            </w:pPr>
          </w:p>
        </w:tc>
        <w:tc>
          <w:tcPr>
            <w:tcW w:w="1465" w:type="dxa"/>
            <w:noWrap w:val="0"/>
            <w:vAlign w:val="center"/>
          </w:tcPr>
          <w:p>
            <w:pPr>
              <w:pStyle w:val="4"/>
              <w:ind w:firstLine="200"/>
              <w:jc w:val="center"/>
              <w:rPr>
                <w:rFonts w:hint="eastAsia" w:ascii="宋体" w:hAnsi="宋体" w:eastAsia="宋体" w:cs="宋体"/>
                <w:sz w:val="21"/>
                <w:szCs w:val="21"/>
              </w:rPr>
            </w:pPr>
            <w:r>
              <w:rPr>
                <w:rFonts w:hint="eastAsia" w:ascii="宋体" w:hAnsi="宋体" w:eastAsia="宋体" w:cs="宋体"/>
                <w:sz w:val="21"/>
                <w:szCs w:val="21"/>
              </w:rPr>
              <w:t>破纪录</w:t>
            </w:r>
          </w:p>
          <w:p>
            <w:pPr>
              <w:ind w:firstLine="200"/>
              <w:jc w:val="center"/>
              <w:rPr>
                <w:rFonts w:hint="eastAsia" w:ascii="宋体" w:hAnsi="宋体" w:cs="宋体"/>
                <w:sz w:val="21"/>
                <w:szCs w:val="21"/>
              </w:rPr>
            </w:pPr>
            <w:r>
              <w:rPr>
                <w:rFonts w:hint="eastAsia" w:ascii="宋体" w:hAnsi="宋体" w:cs="宋体"/>
                <w:sz w:val="21"/>
                <w:szCs w:val="21"/>
              </w:rPr>
              <w:t>（另加）</w:t>
            </w:r>
          </w:p>
        </w:tc>
        <w:tc>
          <w:tcPr>
            <w:tcW w:w="676"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第</w:t>
            </w:r>
          </w:p>
          <w:p>
            <w:pPr>
              <w:ind w:firstLine="200"/>
              <w:jc w:val="center"/>
              <w:rPr>
                <w:rFonts w:hint="eastAsia" w:ascii="宋体" w:hAnsi="宋体" w:cs="宋体"/>
                <w:sz w:val="21"/>
                <w:szCs w:val="21"/>
              </w:rPr>
            </w:pPr>
            <w:r>
              <w:rPr>
                <w:rFonts w:hint="eastAsia" w:ascii="宋体" w:hAnsi="宋体" w:cs="宋体"/>
                <w:sz w:val="21"/>
                <w:szCs w:val="21"/>
              </w:rPr>
              <w:t>一</w:t>
            </w:r>
          </w:p>
          <w:p>
            <w:pPr>
              <w:ind w:firstLine="200"/>
              <w:jc w:val="center"/>
              <w:rPr>
                <w:rFonts w:hint="eastAsia" w:ascii="宋体" w:hAnsi="宋体" w:cs="宋体"/>
                <w:sz w:val="21"/>
                <w:szCs w:val="21"/>
              </w:rPr>
            </w:pPr>
            <w:r>
              <w:rPr>
                <w:rFonts w:hint="eastAsia" w:ascii="宋体" w:hAnsi="宋体" w:cs="宋体"/>
                <w:sz w:val="21"/>
                <w:szCs w:val="21"/>
              </w:rPr>
              <w:t>名</w:t>
            </w:r>
          </w:p>
        </w:tc>
        <w:tc>
          <w:tcPr>
            <w:tcW w:w="636"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第</w:t>
            </w:r>
          </w:p>
          <w:p>
            <w:pPr>
              <w:ind w:firstLine="200"/>
              <w:jc w:val="center"/>
              <w:rPr>
                <w:rFonts w:hint="eastAsia" w:ascii="宋体" w:hAnsi="宋体" w:cs="宋体"/>
                <w:sz w:val="21"/>
                <w:szCs w:val="21"/>
              </w:rPr>
            </w:pPr>
            <w:r>
              <w:rPr>
                <w:rFonts w:hint="eastAsia" w:ascii="宋体" w:hAnsi="宋体" w:cs="宋体"/>
                <w:sz w:val="21"/>
                <w:szCs w:val="21"/>
              </w:rPr>
              <w:t>二</w:t>
            </w:r>
          </w:p>
          <w:p>
            <w:pPr>
              <w:ind w:firstLine="200"/>
              <w:jc w:val="center"/>
              <w:rPr>
                <w:rFonts w:hint="eastAsia" w:ascii="宋体" w:hAnsi="宋体" w:cs="宋体"/>
                <w:sz w:val="21"/>
                <w:szCs w:val="21"/>
              </w:rPr>
            </w:pPr>
            <w:r>
              <w:rPr>
                <w:rFonts w:hint="eastAsia" w:ascii="宋体" w:hAnsi="宋体" w:cs="宋体"/>
                <w:sz w:val="21"/>
                <w:szCs w:val="21"/>
              </w:rPr>
              <w:t>名</w:t>
            </w:r>
          </w:p>
        </w:tc>
        <w:tc>
          <w:tcPr>
            <w:tcW w:w="636"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第</w:t>
            </w:r>
          </w:p>
          <w:p>
            <w:pPr>
              <w:ind w:firstLine="200"/>
              <w:jc w:val="center"/>
              <w:rPr>
                <w:rFonts w:hint="eastAsia" w:ascii="宋体" w:hAnsi="宋体" w:cs="宋体"/>
                <w:sz w:val="21"/>
                <w:szCs w:val="21"/>
              </w:rPr>
            </w:pPr>
            <w:r>
              <w:rPr>
                <w:rFonts w:hint="eastAsia" w:ascii="宋体" w:hAnsi="宋体" w:cs="宋体"/>
                <w:sz w:val="21"/>
                <w:szCs w:val="21"/>
              </w:rPr>
              <w:t>三</w:t>
            </w:r>
          </w:p>
          <w:p>
            <w:pPr>
              <w:ind w:firstLine="200"/>
              <w:jc w:val="center"/>
              <w:rPr>
                <w:rFonts w:hint="eastAsia" w:ascii="宋体" w:hAnsi="宋体" w:cs="宋体"/>
                <w:sz w:val="21"/>
                <w:szCs w:val="21"/>
              </w:rPr>
            </w:pPr>
            <w:r>
              <w:rPr>
                <w:rFonts w:hint="eastAsia" w:ascii="宋体" w:hAnsi="宋体" w:cs="宋体"/>
                <w:sz w:val="21"/>
                <w:szCs w:val="21"/>
              </w:rPr>
              <w:t>名</w:t>
            </w:r>
          </w:p>
        </w:tc>
        <w:tc>
          <w:tcPr>
            <w:tcW w:w="730"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第</w:t>
            </w:r>
          </w:p>
          <w:p>
            <w:pPr>
              <w:ind w:firstLine="200"/>
              <w:jc w:val="center"/>
              <w:rPr>
                <w:rFonts w:hint="eastAsia" w:ascii="宋体" w:hAnsi="宋体" w:cs="宋体"/>
                <w:sz w:val="21"/>
                <w:szCs w:val="21"/>
              </w:rPr>
            </w:pPr>
            <w:r>
              <w:rPr>
                <w:rFonts w:hint="eastAsia" w:ascii="宋体" w:hAnsi="宋体" w:cs="宋体"/>
                <w:sz w:val="21"/>
                <w:szCs w:val="21"/>
              </w:rPr>
              <w:t>四</w:t>
            </w:r>
          </w:p>
          <w:p>
            <w:pPr>
              <w:ind w:firstLine="200"/>
              <w:jc w:val="center"/>
              <w:rPr>
                <w:rFonts w:hint="eastAsia" w:ascii="宋体" w:hAnsi="宋体" w:cs="宋体"/>
                <w:sz w:val="21"/>
                <w:szCs w:val="21"/>
              </w:rPr>
            </w:pPr>
            <w:r>
              <w:rPr>
                <w:rFonts w:hint="eastAsia" w:ascii="宋体" w:hAnsi="宋体" w:cs="宋体"/>
                <w:sz w:val="21"/>
                <w:szCs w:val="21"/>
              </w:rPr>
              <w:t>名</w:t>
            </w:r>
          </w:p>
        </w:tc>
        <w:tc>
          <w:tcPr>
            <w:tcW w:w="542"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第</w:t>
            </w:r>
          </w:p>
          <w:p>
            <w:pPr>
              <w:ind w:firstLine="200"/>
              <w:jc w:val="center"/>
              <w:rPr>
                <w:rFonts w:hint="eastAsia" w:ascii="宋体" w:hAnsi="宋体" w:cs="宋体"/>
                <w:sz w:val="21"/>
                <w:szCs w:val="21"/>
              </w:rPr>
            </w:pPr>
            <w:r>
              <w:rPr>
                <w:rFonts w:hint="eastAsia" w:ascii="宋体" w:hAnsi="宋体" w:cs="宋体"/>
                <w:sz w:val="21"/>
                <w:szCs w:val="21"/>
              </w:rPr>
              <w:t>五</w:t>
            </w:r>
          </w:p>
          <w:p>
            <w:pPr>
              <w:ind w:firstLine="200"/>
              <w:jc w:val="center"/>
              <w:rPr>
                <w:rFonts w:hint="eastAsia" w:ascii="宋体" w:hAnsi="宋体" w:cs="宋体"/>
                <w:sz w:val="21"/>
                <w:szCs w:val="21"/>
              </w:rPr>
            </w:pPr>
            <w:r>
              <w:rPr>
                <w:rFonts w:hint="eastAsia" w:ascii="宋体" w:hAnsi="宋体" w:cs="宋体"/>
                <w:sz w:val="21"/>
                <w:szCs w:val="21"/>
              </w:rPr>
              <w:t>名</w:t>
            </w:r>
          </w:p>
        </w:tc>
        <w:tc>
          <w:tcPr>
            <w:tcW w:w="636"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第</w:t>
            </w:r>
          </w:p>
          <w:p>
            <w:pPr>
              <w:ind w:firstLine="200"/>
              <w:jc w:val="center"/>
              <w:rPr>
                <w:rFonts w:hint="eastAsia" w:ascii="宋体" w:hAnsi="宋体" w:cs="宋体"/>
                <w:sz w:val="21"/>
                <w:szCs w:val="21"/>
              </w:rPr>
            </w:pPr>
            <w:r>
              <w:rPr>
                <w:rFonts w:hint="eastAsia" w:ascii="宋体" w:hAnsi="宋体" w:cs="宋体"/>
                <w:sz w:val="21"/>
                <w:szCs w:val="21"/>
              </w:rPr>
              <w:t>六</w:t>
            </w:r>
          </w:p>
          <w:p>
            <w:pPr>
              <w:ind w:firstLine="200"/>
              <w:jc w:val="center"/>
              <w:rPr>
                <w:rFonts w:hint="eastAsia" w:ascii="宋体" w:hAnsi="宋体" w:cs="宋体"/>
                <w:sz w:val="21"/>
                <w:szCs w:val="21"/>
              </w:rPr>
            </w:pPr>
            <w:r>
              <w:rPr>
                <w:rFonts w:hint="eastAsia" w:ascii="宋体" w:hAnsi="宋体" w:cs="宋体"/>
                <w:sz w:val="21"/>
                <w:szCs w:val="21"/>
              </w:rPr>
              <w:t>名</w:t>
            </w:r>
          </w:p>
        </w:tc>
        <w:tc>
          <w:tcPr>
            <w:tcW w:w="636"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第</w:t>
            </w:r>
          </w:p>
          <w:p>
            <w:pPr>
              <w:ind w:firstLine="200"/>
              <w:jc w:val="center"/>
              <w:rPr>
                <w:rFonts w:hint="eastAsia" w:ascii="宋体" w:hAnsi="宋体" w:cs="宋体"/>
                <w:sz w:val="21"/>
                <w:szCs w:val="21"/>
              </w:rPr>
            </w:pPr>
            <w:r>
              <w:rPr>
                <w:rFonts w:hint="eastAsia" w:ascii="宋体" w:hAnsi="宋体" w:cs="宋体"/>
                <w:sz w:val="21"/>
                <w:szCs w:val="21"/>
              </w:rPr>
              <w:t>七</w:t>
            </w:r>
          </w:p>
          <w:p>
            <w:pPr>
              <w:ind w:firstLine="200"/>
              <w:jc w:val="center"/>
              <w:rPr>
                <w:rFonts w:hint="eastAsia" w:ascii="宋体" w:hAnsi="宋体" w:cs="宋体"/>
                <w:sz w:val="21"/>
                <w:szCs w:val="21"/>
              </w:rPr>
            </w:pPr>
            <w:r>
              <w:rPr>
                <w:rFonts w:hint="eastAsia" w:ascii="宋体" w:hAnsi="宋体" w:cs="宋体"/>
                <w:sz w:val="21"/>
                <w:szCs w:val="21"/>
              </w:rPr>
              <w:t>名</w:t>
            </w:r>
          </w:p>
        </w:tc>
        <w:tc>
          <w:tcPr>
            <w:tcW w:w="636"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第</w:t>
            </w:r>
          </w:p>
          <w:p>
            <w:pPr>
              <w:ind w:firstLine="200"/>
              <w:jc w:val="center"/>
              <w:rPr>
                <w:rFonts w:hint="eastAsia" w:ascii="宋体" w:hAnsi="宋体" w:cs="宋体"/>
                <w:sz w:val="21"/>
                <w:szCs w:val="21"/>
              </w:rPr>
            </w:pPr>
            <w:r>
              <w:rPr>
                <w:rFonts w:hint="eastAsia" w:ascii="宋体" w:hAnsi="宋体" w:cs="宋体"/>
                <w:sz w:val="21"/>
                <w:szCs w:val="21"/>
              </w:rPr>
              <w:t>八</w:t>
            </w:r>
          </w:p>
          <w:p>
            <w:pPr>
              <w:ind w:firstLine="200"/>
              <w:jc w:val="center"/>
              <w:rPr>
                <w:rFonts w:hint="eastAsia" w:ascii="宋体" w:hAnsi="宋体" w:cs="宋体"/>
                <w:sz w:val="21"/>
                <w:szCs w:val="21"/>
              </w:rPr>
            </w:pPr>
            <w:r>
              <w:rPr>
                <w:rFonts w:hint="eastAsia" w:ascii="宋体" w:hAnsi="宋体" w:cs="宋体"/>
                <w:sz w:val="21"/>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国家级</w:t>
            </w:r>
          </w:p>
        </w:tc>
        <w:tc>
          <w:tcPr>
            <w:tcW w:w="1465"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5</w:t>
            </w:r>
          </w:p>
        </w:tc>
        <w:tc>
          <w:tcPr>
            <w:tcW w:w="676"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4</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3.5</w:t>
            </w:r>
          </w:p>
        </w:tc>
        <w:tc>
          <w:tcPr>
            <w:tcW w:w="730" w:type="dxa"/>
            <w:noWrap w:val="0"/>
            <w:vAlign w:val="center"/>
          </w:tcPr>
          <w:p>
            <w:pPr>
              <w:ind w:firstLine="103" w:firstLineChars="50"/>
              <w:jc w:val="center"/>
              <w:rPr>
                <w:rFonts w:hint="eastAsia" w:ascii="宋体" w:hAnsi="宋体" w:cs="宋体"/>
                <w:sz w:val="21"/>
                <w:szCs w:val="21"/>
              </w:rPr>
            </w:pPr>
            <w:r>
              <w:rPr>
                <w:rFonts w:hint="eastAsia" w:ascii="宋体" w:hAnsi="宋体" w:cs="宋体"/>
                <w:sz w:val="21"/>
                <w:szCs w:val="21"/>
              </w:rPr>
              <w:t>3</w:t>
            </w:r>
          </w:p>
        </w:tc>
        <w:tc>
          <w:tcPr>
            <w:tcW w:w="542" w:type="dxa"/>
            <w:noWrap w:val="0"/>
            <w:vAlign w:val="center"/>
          </w:tcPr>
          <w:p>
            <w:pPr>
              <w:jc w:val="center"/>
              <w:rPr>
                <w:rFonts w:hint="eastAsia" w:ascii="宋体" w:hAnsi="宋体" w:cs="宋体"/>
                <w:sz w:val="21"/>
                <w:szCs w:val="21"/>
              </w:rPr>
            </w:pPr>
            <w:r>
              <w:rPr>
                <w:rFonts w:hint="eastAsia" w:ascii="宋体" w:hAnsi="宋体" w:cs="宋体"/>
                <w:sz w:val="21"/>
                <w:szCs w:val="21"/>
              </w:rPr>
              <w:t>2.5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2</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1.5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省级</w:t>
            </w:r>
          </w:p>
        </w:tc>
        <w:tc>
          <w:tcPr>
            <w:tcW w:w="1465"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4</w:t>
            </w:r>
          </w:p>
        </w:tc>
        <w:tc>
          <w:tcPr>
            <w:tcW w:w="676"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4</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3.5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3</w:t>
            </w:r>
          </w:p>
        </w:tc>
        <w:tc>
          <w:tcPr>
            <w:tcW w:w="730" w:type="dxa"/>
            <w:noWrap w:val="0"/>
            <w:vAlign w:val="center"/>
          </w:tcPr>
          <w:p>
            <w:pPr>
              <w:jc w:val="center"/>
              <w:rPr>
                <w:rFonts w:hint="eastAsia" w:ascii="宋体" w:hAnsi="宋体" w:cs="宋体"/>
                <w:sz w:val="21"/>
                <w:szCs w:val="21"/>
              </w:rPr>
            </w:pPr>
            <w:r>
              <w:rPr>
                <w:rFonts w:hint="eastAsia" w:ascii="宋体" w:hAnsi="宋体" w:cs="宋体"/>
                <w:sz w:val="21"/>
                <w:szCs w:val="21"/>
              </w:rPr>
              <w:t>2.5</w:t>
            </w:r>
          </w:p>
        </w:tc>
        <w:tc>
          <w:tcPr>
            <w:tcW w:w="542" w:type="dxa"/>
            <w:noWrap w:val="0"/>
            <w:vAlign w:val="center"/>
          </w:tcPr>
          <w:p>
            <w:pPr>
              <w:jc w:val="center"/>
              <w:rPr>
                <w:rFonts w:hint="eastAsia" w:ascii="宋体" w:hAnsi="宋体" w:cs="宋体"/>
                <w:sz w:val="21"/>
                <w:szCs w:val="21"/>
              </w:rPr>
            </w:pPr>
            <w:r>
              <w:rPr>
                <w:rFonts w:hint="eastAsia" w:ascii="宋体" w:hAnsi="宋体" w:cs="宋体"/>
                <w:sz w:val="21"/>
                <w:szCs w:val="21"/>
              </w:rPr>
              <w:t>2</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1.5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1</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校（市）级</w:t>
            </w:r>
          </w:p>
        </w:tc>
        <w:tc>
          <w:tcPr>
            <w:tcW w:w="1465"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3</w:t>
            </w:r>
          </w:p>
        </w:tc>
        <w:tc>
          <w:tcPr>
            <w:tcW w:w="676"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3</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2.5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2</w:t>
            </w:r>
          </w:p>
        </w:tc>
        <w:tc>
          <w:tcPr>
            <w:tcW w:w="730"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1.5</w:t>
            </w:r>
          </w:p>
        </w:tc>
        <w:tc>
          <w:tcPr>
            <w:tcW w:w="542"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1</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0.8</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0.5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8"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院级</w:t>
            </w:r>
          </w:p>
        </w:tc>
        <w:tc>
          <w:tcPr>
            <w:tcW w:w="1465"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2</w:t>
            </w:r>
          </w:p>
        </w:tc>
        <w:tc>
          <w:tcPr>
            <w:tcW w:w="676"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2</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1.5</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1</w:t>
            </w:r>
          </w:p>
        </w:tc>
        <w:tc>
          <w:tcPr>
            <w:tcW w:w="730"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w:t>
            </w:r>
          </w:p>
        </w:tc>
        <w:tc>
          <w:tcPr>
            <w:tcW w:w="542" w:type="dxa"/>
            <w:noWrap w:val="0"/>
            <w:vAlign w:val="center"/>
          </w:tcPr>
          <w:p>
            <w:pPr>
              <w:ind w:firstLine="200"/>
              <w:jc w:val="center"/>
              <w:rPr>
                <w:rFonts w:hint="eastAsia" w:ascii="宋体" w:hAnsi="宋体" w:cs="宋体"/>
                <w:sz w:val="21"/>
                <w:szCs w:val="21"/>
              </w:rPr>
            </w:pPr>
            <w:r>
              <w:rPr>
                <w:rFonts w:hint="eastAsia" w:ascii="宋体" w:hAnsi="宋体" w:cs="宋体"/>
                <w:sz w:val="21"/>
                <w:szCs w:val="21"/>
              </w:rPr>
              <w:t>/</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w:t>
            </w:r>
          </w:p>
        </w:tc>
        <w:tc>
          <w:tcPr>
            <w:tcW w:w="636" w:type="dxa"/>
            <w:noWrap w:val="0"/>
            <w:vAlign w:val="center"/>
          </w:tcPr>
          <w:p>
            <w:pPr>
              <w:jc w:val="center"/>
              <w:rPr>
                <w:rFonts w:hint="eastAsia" w:ascii="宋体" w:hAnsi="宋体" w:cs="宋体"/>
                <w:sz w:val="21"/>
                <w:szCs w:val="21"/>
              </w:rPr>
            </w:pPr>
            <w:r>
              <w:rPr>
                <w:rFonts w:hint="eastAsia" w:ascii="宋体" w:hAnsi="宋体" w:cs="宋体"/>
                <w:sz w:val="21"/>
                <w:szCs w:val="21"/>
              </w:rPr>
              <w:t>/</w:t>
            </w:r>
          </w:p>
        </w:tc>
      </w:tr>
    </w:tbl>
    <w:p>
      <w:pPr>
        <w:ind w:firstLine="200"/>
        <w:rPr>
          <w:rFonts w:hint="eastAsia" w:ascii="宋体" w:hAnsi="宋体" w:cs="宋体"/>
          <w:sz w:val="21"/>
          <w:szCs w:val="21"/>
        </w:rPr>
      </w:pPr>
      <w:r>
        <w:rPr>
          <w:rFonts w:hint="eastAsia" w:ascii="宋体" w:hAnsi="宋体" w:cs="宋体"/>
          <w:sz w:val="21"/>
          <w:szCs w:val="21"/>
        </w:rPr>
        <w:t>注：集体项目的队员按上述标准减半加分。</w:t>
      </w:r>
    </w:p>
    <w:p>
      <w:pPr>
        <w:ind w:firstLine="618" w:firstLineChars="300"/>
        <w:rPr>
          <w:rFonts w:hint="eastAsia" w:ascii="宋体" w:hAnsi="宋体" w:cs="宋体"/>
          <w:sz w:val="21"/>
          <w:szCs w:val="21"/>
        </w:rPr>
      </w:pPr>
      <w:r>
        <w:rPr>
          <w:rFonts w:hint="eastAsia" w:ascii="宋体" w:hAnsi="宋体" w:cs="宋体"/>
          <w:sz w:val="21"/>
          <w:szCs w:val="21"/>
        </w:rPr>
        <w:t>参加国家级以上比赛获奖的另行加分。</w:t>
      </w:r>
    </w:p>
    <w:p>
      <w:pPr>
        <w:ind w:firstLine="618" w:firstLineChars="300"/>
        <w:rPr>
          <w:rFonts w:hint="eastAsia" w:ascii="宋体" w:hAnsi="宋体" w:cs="宋体"/>
          <w:sz w:val="21"/>
          <w:szCs w:val="21"/>
        </w:rPr>
      </w:pPr>
      <w:r>
        <w:rPr>
          <w:rFonts w:hint="eastAsia" w:ascii="宋体" w:hAnsi="宋体" w:cs="宋体"/>
          <w:sz w:val="21"/>
          <w:szCs w:val="21"/>
        </w:rPr>
        <w:t>在校期间获得一级以上运动员证书者加4分，获得二级运动员证书者加3分。</w:t>
      </w:r>
    </w:p>
    <w:p>
      <w:pPr>
        <w:tabs>
          <w:tab w:val="left" w:pos="720"/>
        </w:tabs>
        <w:ind w:firstLine="618" w:firstLineChars="300"/>
        <w:rPr>
          <w:rFonts w:hint="eastAsia" w:ascii="宋体" w:hAnsi="宋体" w:cs="宋体"/>
          <w:sz w:val="21"/>
          <w:szCs w:val="21"/>
        </w:rPr>
      </w:pPr>
      <w:r>
        <w:rPr>
          <w:rFonts w:hint="eastAsia" w:ascii="宋体" w:hAnsi="宋体" w:cs="宋体"/>
          <w:sz w:val="21"/>
          <w:szCs w:val="21"/>
        </w:rPr>
        <w:t>在校期间获得二级裁判员证书者加2分，获得三级裁判员证书者加1分。</w:t>
      </w:r>
    </w:p>
    <w:p>
      <w:pPr>
        <w:tabs>
          <w:tab w:val="left" w:pos="720"/>
        </w:tabs>
        <w:ind w:firstLine="206" w:firstLineChars="100"/>
        <w:rPr>
          <w:rFonts w:hint="eastAsia" w:ascii="宋体" w:hAnsi="宋体" w:cs="宋体"/>
          <w:sz w:val="21"/>
          <w:szCs w:val="21"/>
        </w:rPr>
      </w:pPr>
      <w:r>
        <w:rPr>
          <w:rFonts w:hint="eastAsia" w:ascii="宋体" w:hAnsi="宋体" w:cs="宋体"/>
          <w:sz w:val="21"/>
          <w:szCs w:val="21"/>
        </w:rPr>
        <w:t>（2）一、二年级学生，早操缺勤1次扣1分。</w:t>
      </w:r>
    </w:p>
    <w:p>
      <w:pPr>
        <w:ind w:left="458" w:leftChars="145"/>
        <w:rPr>
          <w:rFonts w:hint="eastAsia" w:ascii="宋体" w:hAnsi="宋体" w:cs="宋体"/>
          <w:b/>
          <w:kern w:val="0"/>
          <w:sz w:val="21"/>
          <w:szCs w:val="21"/>
        </w:rPr>
      </w:pPr>
      <w:r>
        <w:rPr>
          <w:rFonts w:hint="eastAsia" w:ascii="宋体" w:hAnsi="宋体" w:cs="宋体"/>
          <w:b/>
          <w:kern w:val="0"/>
          <w:sz w:val="21"/>
          <w:szCs w:val="21"/>
        </w:rPr>
        <w:t>四、附则</w:t>
      </w:r>
    </w:p>
    <w:p>
      <w:pPr>
        <w:ind w:left="458" w:leftChars="145"/>
        <w:rPr>
          <w:rFonts w:hint="eastAsia" w:ascii="宋体" w:hAnsi="宋体" w:cs="宋体"/>
          <w:sz w:val="21"/>
          <w:szCs w:val="21"/>
        </w:rPr>
      </w:pPr>
      <w:r>
        <w:rPr>
          <w:rFonts w:hint="eastAsia" w:ascii="宋体" w:hAnsi="宋体" w:cs="宋体"/>
          <w:sz w:val="21"/>
          <w:szCs w:val="21"/>
        </w:rPr>
        <w:t>1、本办法适用于我院2</w:t>
      </w:r>
      <w:r>
        <w:rPr>
          <w:rFonts w:ascii="宋体" w:hAnsi="宋体" w:cs="宋体"/>
          <w:sz w:val="21"/>
          <w:szCs w:val="21"/>
        </w:rPr>
        <w:t>0</w:t>
      </w:r>
      <w:r>
        <w:rPr>
          <w:rFonts w:hint="eastAsia" w:ascii="宋体" w:hAnsi="宋体" w:cs="宋体"/>
          <w:sz w:val="21"/>
          <w:szCs w:val="21"/>
        </w:rPr>
        <w:t>2</w:t>
      </w:r>
      <w:r>
        <w:rPr>
          <w:rFonts w:ascii="宋体" w:hAnsi="宋体" w:cs="宋体"/>
          <w:sz w:val="21"/>
          <w:szCs w:val="21"/>
        </w:rPr>
        <w:t>1</w:t>
      </w:r>
      <w:r>
        <w:rPr>
          <w:rFonts w:hint="eastAsia" w:ascii="宋体" w:hAnsi="宋体" w:cs="宋体"/>
          <w:sz w:val="21"/>
          <w:szCs w:val="21"/>
        </w:rPr>
        <w:t>级、2</w:t>
      </w:r>
      <w:r>
        <w:rPr>
          <w:rFonts w:ascii="宋体" w:hAnsi="宋体" w:cs="宋体"/>
          <w:sz w:val="21"/>
          <w:szCs w:val="21"/>
        </w:rPr>
        <w:t>0</w:t>
      </w:r>
      <w:r>
        <w:rPr>
          <w:rFonts w:hint="eastAsia" w:ascii="宋体" w:hAnsi="宋体" w:cs="宋体"/>
          <w:sz w:val="21"/>
          <w:szCs w:val="21"/>
        </w:rPr>
        <w:t>2</w:t>
      </w:r>
      <w:r>
        <w:rPr>
          <w:rFonts w:ascii="宋体" w:hAnsi="宋体" w:cs="宋体"/>
          <w:sz w:val="21"/>
          <w:szCs w:val="21"/>
        </w:rPr>
        <w:t>2</w:t>
      </w:r>
      <w:r>
        <w:rPr>
          <w:rFonts w:hint="eastAsia" w:ascii="宋体" w:hAnsi="宋体" w:cs="宋体"/>
          <w:sz w:val="21"/>
          <w:szCs w:val="21"/>
        </w:rPr>
        <w:t>级、2</w:t>
      </w:r>
      <w:r>
        <w:rPr>
          <w:rFonts w:ascii="宋体" w:hAnsi="宋体" w:cs="宋体"/>
          <w:sz w:val="21"/>
          <w:szCs w:val="21"/>
        </w:rPr>
        <w:t>0</w:t>
      </w:r>
      <w:r>
        <w:rPr>
          <w:rFonts w:hint="eastAsia" w:ascii="宋体" w:hAnsi="宋体" w:cs="宋体"/>
          <w:sz w:val="21"/>
          <w:szCs w:val="21"/>
        </w:rPr>
        <w:t>2</w:t>
      </w:r>
      <w:r>
        <w:rPr>
          <w:rFonts w:ascii="宋体" w:hAnsi="宋体" w:cs="宋体"/>
          <w:sz w:val="21"/>
          <w:szCs w:val="21"/>
        </w:rPr>
        <w:t>3</w:t>
      </w:r>
      <w:r>
        <w:rPr>
          <w:rFonts w:hint="eastAsia" w:ascii="宋体" w:hAnsi="宋体" w:cs="宋体"/>
          <w:sz w:val="21"/>
          <w:szCs w:val="21"/>
        </w:rPr>
        <w:t>级全日制在籍本科学生。</w:t>
      </w:r>
    </w:p>
    <w:p>
      <w:pPr>
        <w:ind w:left="458" w:leftChars="145"/>
        <w:rPr>
          <w:rFonts w:hint="eastAsia" w:ascii="宋体" w:hAnsi="宋体" w:cs="宋体"/>
          <w:sz w:val="21"/>
          <w:szCs w:val="21"/>
        </w:rPr>
      </w:pPr>
      <w:r>
        <w:rPr>
          <w:rFonts w:hint="eastAsia" w:ascii="宋体" w:hAnsi="宋体" w:cs="宋体"/>
          <w:sz w:val="21"/>
          <w:szCs w:val="21"/>
        </w:rPr>
        <w:t>2、本办法自颁布之日起施行，最终解释权归学院综合测评领导小组所有。原《南通大学商学院(管理学院)本科生综合测评实施细则》通大院商[</w:t>
      </w:r>
      <w:r>
        <w:rPr>
          <w:rFonts w:ascii="宋体" w:hAnsi="宋体" w:cs="宋体"/>
          <w:sz w:val="21"/>
          <w:szCs w:val="21"/>
        </w:rPr>
        <w:t>2024]9</w:t>
      </w:r>
      <w:r>
        <w:rPr>
          <w:rFonts w:hint="eastAsia" w:ascii="宋体" w:hAnsi="宋体" w:cs="宋体"/>
          <w:sz w:val="21"/>
          <w:szCs w:val="21"/>
        </w:rPr>
        <w:t>号文件同时废止。</w:t>
      </w:r>
    </w:p>
    <w:p>
      <w:pPr>
        <w:ind w:left="458" w:leftChars="145"/>
        <w:rPr>
          <w:rFonts w:ascii="宋体" w:hAnsi="宋体" w:cs="宋体"/>
          <w:sz w:val="21"/>
          <w:szCs w:val="21"/>
        </w:rPr>
      </w:pPr>
      <w:r>
        <w:rPr>
          <w:rFonts w:hint="eastAsia" w:ascii="宋体" w:hAnsi="宋体" w:cs="宋体"/>
          <w:sz w:val="21"/>
          <w:szCs w:val="21"/>
        </w:rPr>
        <w:t>附件：商学院（管理学院）本科生德育测评细则</w:t>
      </w:r>
    </w:p>
    <w:p>
      <w:pPr>
        <w:ind w:left="458" w:leftChars="145"/>
        <w:rPr>
          <w:rFonts w:ascii="宋体" w:hAnsi="宋体" w:cs="宋体"/>
          <w:sz w:val="21"/>
          <w:szCs w:val="21"/>
        </w:rPr>
      </w:pPr>
    </w:p>
    <w:p>
      <w:pPr>
        <w:ind w:left="458" w:leftChars="145"/>
        <w:jc w:val="right"/>
        <w:rPr>
          <w:rFonts w:ascii="宋体" w:hAnsi="宋体" w:cs="宋体"/>
          <w:sz w:val="21"/>
          <w:szCs w:val="21"/>
        </w:rPr>
      </w:pPr>
      <w:r>
        <w:rPr>
          <w:rFonts w:hint="eastAsia" w:ascii="宋体" w:hAnsi="宋体" w:cs="宋体"/>
          <w:sz w:val="21"/>
          <w:szCs w:val="21"/>
        </w:rPr>
        <w:t>南通大学商学院（管理学院）</w:t>
      </w:r>
    </w:p>
    <w:p>
      <w:pPr>
        <w:ind w:left="458" w:leftChars="145"/>
        <w:jc w:val="right"/>
        <w:rPr>
          <w:rFonts w:hint="eastAsia" w:ascii="楷体_GB2312" w:eastAsia="楷体_GB2312"/>
          <w:b/>
          <w:sz w:val="28"/>
          <w:szCs w:val="28"/>
        </w:rPr>
      </w:pPr>
      <w:r>
        <w:rPr>
          <w:rFonts w:hint="eastAsia" w:ascii="宋体" w:hAnsi="宋体" w:cs="宋体"/>
          <w:sz w:val="21"/>
          <w:szCs w:val="21"/>
        </w:rPr>
        <w:t>2</w:t>
      </w:r>
      <w:r>
        <w:rPr>
          <w:rFonts w:ascii="宋体" w:hAnsi="宋体" w:cs="宋体"/>
          <w:sz w:val="21"/>
          <w:szCs w:val="21"/>
        </w:rPr>
        <w:t>025</w:t>
      </w:r>
      <w:r>
        <w:rPr>
          <w:rFonts w:hint="eastAsia" w:ascii="宋体" w:hAnsi="宋体" w:cs="宋体"/>
          <w:sz w:val="21"/>
          <w:szCs w:val="21"/>
        </w:rPr>
        <w:t>年</w:t>
      </w:r>
      <w:r>
        <w:rPr>
          <w:rFonts w:ascii="宋体" w:hAnsi="宋体" w:cs="宋体"/>
          <w:sz w:val="21"/>
          <w:szCs w:val="21"/>
        </w:rPr>
        <w:t>03</w:t>
      </w:r>
      <w:r>
        <w:rPr>
          <w:rFonts w:hint="eastAsia" w:ascii="宋体" w:hAnsi="宋体" w:cs="宋体"/>
          <w:sz w:val="21"/>
          <w:szCs w:val="21"/>
        </w:rPr>
        <w:t>月</w:t>
      </w:r>
      <w:r>
        <w:rPr>
          <w:rFonts w:ascii="宋体" w:hAnsi="宋体" w:cs="宋体"/>
          <w:sz w:val="21"/>
          <w:szCs w:val="21"/>
        </w:rPr>
        <w:t>14</w:t>
      </w:r>
      <w:r>
        <w:rPr>
          <w:rFonts w:hint="eastAsia" w:ascii="宋体" w:hAnsi="宋体" w:cs="宋体"/>
          <w:sz w:val="21"/>
          <w:szCs w:val="21"/>
        </w:rPr>
        <w:t>日</w:t>
      </w:r>
    </w:p>
    <w:p>
      <w:pPr>
        <w:tabs>
          <w:tab w:val="left" w:pos="2310"/>
          <w:tab w:val="left" w:pos="6510"/>
        </w:tabs>
        <w:rPr>
          <w:rFonts w:hint="eastAsia" w:ascii="仿宋_GB2312" w:eastAsia="仿宋_GB2312"/>
          <w:sz w:val="28"/>
          <w:szCs w:val="28"/>
        </w:rPr>
      </w:pPr>
      <w:r>
        <w:rPr>
          <w:rFonts w:ascii="仿宋_GB2312" w:eastAsia="仿宋_GB2312"/>
          <w:sz w:val="28"/>
          <w:szCs w:val="28"/>
        </w:rPr>
        <w:br w:type="page"/>
      </w:r>
      <w:r>
        <w:rPr>
          <w:rFonts w:hint="eastAsia" w:ascii="仿宋_GB2312" w:eastAsia="仿宋_GB2312"/>
          <w:sz w:val="28"/>
          <w:szCs w:val="28"/>
        </w:rPr>
        <w:t>附件</w:t>
      </w:r>
    </w:p>
    <w:p>
      <w:pPr>
        <w:spacing w:line="360" w:lineRule="exact"/>
        <w:jc w:val="center"/>
        <w:rPr>
          <w:rFonts w:ascii="宋体" w:hAnsi="宋体"/>
          <w:bCs/>
          <w:sz w:val="36"/>
        </w:rPr>
      </w:pPr>
      <w:r>
        <w:rPr>
          <w:rFonts w:hint="eastAsia" w:ascii="宋体" w:hAnsi="宋体"/>
          <w:bCs/>
          <w:sz w:val="36"/>
        </w:rPr>
        <w:t>商学院（管理学院）本科生德育测评细则</w:t>
      </w:r>
    </w:p>
    <w:p>
      <w:pPr>
        <w:spacing w:line="360" w:lineRule="exact"/>
        <w:jc w:val="center"/>
        <w:rPr>
          <w:rFonts w:hint="eastAsia" w:ascii="宋体" w:hAnsi="宋体"/>
          <w:sz w:val="24"/>
          <w:szCs w:val="21"/>
        </w:rPr>
      </w:pPr>
      <w:r>
        <w:rPr>
          <w:rFonts w:hint="eastAsia" w:ascii="宋体" w:hAnsi="宋体"/>
          <w:bCs/>
          <w:sz w:val="36"/>
        </w:rPr>
        <w:t>（2</w:t>
      </w:r>
      <w:r>
        <w:rPr>
          <w:rFonts w:ascii="宋体" w:hAnsi="宋体"/>
          <w:bCs/>
          <w:sz w:val="36"/>
        </w:rPr>
        <w:t>1</w:t>
      </w:r>
      <w:r>
        <w:rPr>
          <w:rFonts w:hint="eastAsia" w:ascii="宋体" w:hAnsi="宋体"/>
          <w:bCs/>
          <w:sz w:val="36"/>
        </w:rPr>
        <w:t>、2</w:t>
      </w:r>
      <w:r>
        <w:rPr>
          <w:rFonts w:ascii="宋体" w:hAnsi="宋体"/>
          <w:bCs/>
          <w:sz w:val="36"/>
        </w:rPr>
        <w:t>2</w:t>
      </w:r>
      <w:r>
        <w:rPr>
          <w:rFonts w:hint="eastAsia" w:ascii="宋体" w:hAnsi="宋体"/>
          <w:bCs/>
          <w:sz w:val="36"/>
        </w:rPr>
        <w:t>、2</w:t>
      </w:r>
      <w:r>
        <w:rPr>
          <w:rFonts w:ascii="宋体" w:hAnsi="宋体"/>
          <w:bCs/>
          <w:sz w:val="36"/>
        </w:rPr>
        <w:t>3</w:t>
      </w:r>
      <w:r>
        <w:rPr>
          <w:rFonts w:hint="eastAsia" w:ascii="宋体" w:hAnsi="宋体"/>
          <w:bCs/>
          <w:sz w:val="36"/>
        </w:rPr>
        <w:t>级适用）</w:t>
      </w:r>
    </w:p>
    <w:p>
      <w:pPr>
        <w:spacing w:line="360" w:lineRule="exact"/>
        <w:ind w:firstLine="412" w:firstLineChars="200"/>
        <w:rPr>
          <w:rFonts w:ascii="宋体" w:hAnsi="宋体"/>
          <w:sz w:val="21"/>
          <w:szCs w:val="21"/>
        </w:rPr>
      </w:pPr>
      <w:r>
        <w:rPr>
          <w:rFonts w:hint="eastAsia" w:ascii="宋体" w:hAnsi="宋体"/>
          <w:b/>
          <w:sz w:val="21"/>
          <w:szCs w:val="21"/>
        </w:rPr>
        <w:t>德育成绩=德育考评分+加减分，德育总成绩不超过一百分。</w:t>
      </w:r>
    </w:p>
    <w:p>
      <w:pPr>
        <w:spacing w:line="360" w:lineRule="exact"/>
        <w:ind w:firstLine="412" w:firstLineChars="200"/>
        <w:rPr>
          <w:rFonts w:ascii="宋体" w:hAnsi="宋体"/>
          <w:b/>
          <w:bCs/>
          <w:sz w:val="21"/>
          <w:szCs w:val="21"/>
        </w:rPr>
      </w:pPr>
      <w:r>
        <w:rPr>
          <w:rFonts w:hint="eastAsia" w:ascii="宋体" w:hAnsi="宋体"/>
          <w:b/>
          <w:bCs/>
          <w:sz w:val="21"/>
          <w:szCs w:val="21"/>
        </w:rPr>
        <w:t>一、德育考评分</w:t>
      </w:r>
    </w:p>
    <w:p>
      <w:pPr>
        <w:spacing w:line="360" w:lineRule="exact"/>
        <w:ind w:left="480"/>
        <w:rPr>
          <w:rFonts w:ascii="宋体" w:hAnsi="宋体"/>
          <w:sz w:val="21"/>
          <w:szCs w:val="21"/>
        </w:rPr>
      </w:pPr>
      <w:r>
        <w:rPr>
          <w:rFonts w:hint="eastAsia" w:ascii="宋体" w:hAnsi="宋体"/>
          <w:sz w:val="21"/>
          <w:szCs w:val="21"/>
        </w:rPr>
        <w:t>（一）个人德育考评分由班级学生测评分和班级学生干部测评分组成，权重各占</w:t>
      </w:r>
      <w:r>
        <w:rPr>
          <w:rFonts w:ascii="宋体" w:hAnsi="宋体"/>
          <w:sz w:val="21"/>
          <w:szCs w:val="21"/>
        </w:rPr>
        <w:t>50</w:t>
      </w:r>
      <w:r>
        <w:rPr>
          <w:rFonts w:hint="eastAsia" w:ascii="宋体" w:hAnsi="宋体"/>
          <w:sz w:val="21"/>
          <w:szCs w:val="21"/>
        </w:rPr>
        <w:t>%。</w:t>
      </w:r>
    </w:p>
    <w:p>
      <w:pPr>
        <w:spacing w:line="360" w:lineRule="exact"/>
        <w:ind w:left="480"/>
        <w:rPr>
          <w:rFonts w:ascii="宋体" w:hAnsi="宋体"/>
          <w:sz w:val="21"/>
          <w:szCs w:val="21"/>
        </w:rPr>
      </w:pPr>
      <w:r>
        <w:rPr>
          <w:rFonts w:hint="eastAsia" w:ascii="宋体" w:hAnsi="宋体"/>
          <w:sz w:val="21"/>
          <w:szCs w:val="21"/>
        </w:rPr>
        <w:t>（二）所有班级同学均可参加班级同学德育考评环节，主要围绕政治表现、道德修养、学习态度、卫生习惯、遵纪违法等方面进行评分。</w:t>
      </w:r>
    </w:p>
    <w:tbl>
      <w:tblPr>
        <w:tblStyle w:val="10"/>
        <w:tblW w:w="8332"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6463"/>
        <w:gridCol w:w="10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840"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项目</w:t>
            </w:r>
          </w:p>
        </w:tc>
        <w:tc>
          <w:tcPr>
            <w:tcW w:w="6463"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内容</w:t>
            </w:r>
          </w:p>
        </w:tc>
        <w:tc>
          <w:tcPr>
            <w:tcW w:w="1029"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考量分</w:t>
            </w:r>
          </w:p>
          <w:p>
            <w:pPr>
              <w:jc w:val="center"/>
              <w:rPr>
                <w:rFonts w:ascii="仿宋_GB2312" w:hAnsi="仿宋_GB2312" w:eastAsia="仿宋_GB2312" w:cs="仿宋_GB2312"/>
                <w:szCs w:val="32"/>
              </w:rPr>
            </w:pPr>
            <w:r>
              <w:rPr>
                <w:rFonts w:hint="eastAsia" w:ascii="仿宋_GB2312" w:hAnsi="仿宋_GB2312" w:eastAsia="仿宋_GB2312" w:cs="仿宋_GB2312"/>
                <w:szCs w:val="32"/>
              </w:rPr>
              <w:t>上限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3" w:hRule="exact"/>
        </w:trPr>
        <w:tc>
          <w:tcPr>
            <w:tcW w:w="840" w:type="dxa"/>
            <w:shd w:val="clear" w:color="auto" w:fill="auto"/>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政治表现</w:t>
            </w:r>
          </w:p>
        </w:tc>
        <w:tc>
          <w:tcPr>
            <w:tcW w:w="6463" w:type="dxa"/>
            <w:shd w:val="clear" w:color="auto" w:fill="auto"/>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坚持正确的政治立场，</w:t>
            </w:r>
            <w:r>
              <w:rPr>
                <w:rFonts w:hint="eastAsia" w:ascii="仿宋_GB2312" w:hAnsi="仿宋_GB2312" w:eastAsia="仿宋_GB2312" w:cs="仿宋_GB2312"/>
                <w:color w:val="000000"/>
                <w:sz w:val="32"/>
                <w:szCs w:val="32"/>
              </w:rPr>
              <w:t>增强“四个意识”，坚定“四个自信”，做到“两个维护”，自觉践行社会主义核心价值观，</w:t>
            </w:r>
            <w:r>
              <w:rPr>
                <w:rFonts w:hint="eastAsia" w:ascii="仿宋_GB2312" w:hAnsi="仿宋_GB2312" w:eastAsia="仿宋_GB2312" w:cs="仿宋_GB2312"/>
                <w:sz w:val="32"/>
                <w:szCs w:val="32"/>
              </w:rPr>
              <w:t>及时了解和宣传党的路线、方针、政策。</w:t>
            </w:r>
            <w:r>
              <w:rPr>
                <w:rFonts w:hint="eastAsia" w:ascii="仿宋_GB2312" w:hAnsi="仿宋_GB2312" w:eastAsia="仿宋_GB2312" w:cs="仿宋_GB2312"/>
                <w:color w:val="000000"/>
                <w:sz w:val="32"/>
                <w:szCs w:val="32"/>
              </w:rPr>
              <w:t>认真学习马克思列宁主义、毛泽东思想、邓小平理论、“三个代表”重要思想、科学发展观、习近平新时代中国特色社会主义思想。</w:t>
            </w:r>
            <w:r>
              <w:rPr>
                <w:rFonts w:hint="eastAsia" w:ascii="仿宋_GB2312" w:hAnsi="仿宋_GB2312" w:eastAsia="仿宋_GB2312" w:cs="仿宋_GB2312"/>
                <w:sz w:val="32"/>
                <w:szCs w:val="32"/>
              </w:rPr>
              <w:t>政治上积极要求进步，有崇高的理想信念，热爱祖国，关心国家大事，积极参加各项政治学习和教育活动，自觉规范网络行为，明辨是非，弘扬正气。</w:t>
            </w:r>
          </w:p>
        </w:tc>
        <w:tc>
          <w:tcPr>
            <w:tcW w:w="1029"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840" w:type="dxa"/>
            <w:shd w:val="clear" w:color="auto" w:fill="auto"/>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道德修养</w:t>
            </w:r>
          </w:p>
        </w:tc>
        <w:tc>
          <w:tcPr>
            <w:tcW w:w="6463" w:type="dxa"/>
            <w:shd w:val="clear" w:color="auto" w:fill="auto"/>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注重思想道德修养，自觉遵守社会公德、家庭美德。尊敬师长，团结同学，关心集体，乐于助人，自尊自爱。诚实守信，知行统一，举止文明，勤俭节约。</w:t>
            </w:r>
          </w:p>
        </w:tc>
        <w:tc>
          <w:tcPr>
            <w:tcW w:w="1029"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0" w:type="dxa"/>
            <w:shd w:val="clear" w:color="auto" w:fill="auto"/>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学习态度</w:t>
            </w:r>
          </w:p>
        </w:tc>
        <w:tc>
          <w:tcPr>
            <w:tcW w:w="6463" w:type="dxa"/>
            <w:shd w:val="clear" w:color="auto" w:fill="auto"/>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学习态度端正，目标明确，勤奋刻苦，热爱所学专业，自觉遵守考勤制度和考场纪律，认真上课、自习，认真完成老师布置的课内外作业，积极参加科技、学术等活动。</w:t>
            </w:r>
          </w:p>
        </w:tc>
        <w:tc>
          <w:tcPr>
            <w:tcW w:w="1029"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840" w:type="dxa"/>
            <w:shd w:val="clear" w:color="auto" w:fill="auto"/>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遵纪守法</w:t>
            </w:r>
          </w:p>
        </w:tc>
        <w:tc>
          <w:tcPr>
            <w:tcW w:w="6463" w:type="dxa"/>
            <w:shd w:val="clear" w:color="auto" w:fill="auto"/>
            <w:noWrap w:val="0"/>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遵守国家各项法律法规和学校的各项规章制度。自觉维护公共秩序，服从管理，勇于同各种违纪违法现象作斗争。</w:t>
            </w:r>
          </w:p>
        </w:tc>
        <w:tc>
          <w:tcPr>
            <w:tcW w:w="1029" w:type="dxa"/>
            <w:shd w:val="clear" w:color="auto" w:fill="auto"/>
            <w:noWrap w:val="0"/>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25</w:t>
            </w:r>
          </w:p>
        </w:tc>
      </w:tr>
    </w:tbl>
    <w:p>
      <w:pPr>
        <w:spacing w:line="360" w:lineRule="exact"/>
        <w:rPr>
          <w:rFonts w:hint="eastAsia" w:ascii="宋体" w:hAnsi="宋体"/>
          <w:b/>
          <w:bCs/>
          <w:sz w:val="21"/>
          <w:szCs w:val="21"/>
        </w:rPr>
      </w:pPr>
      <w:r>
        <w:rPr>
          <w:rFonts w:hint="eastAsia" w:ascii="宋体" w:hAnsi="宋体"/>
          <w:b/>
          <w:bCs/>
          <w:sz w:val="21"/>
          <w:szCs w:val="21"/>
        </w:rPr>
        <w:t>二、德育加分细则</w:t>
      </w:r>
    </w:p>
    <w:p>
      <w:pPr>
        <w:spacing w:line="360" w:lineRule="exact"/>
        <w:ind w:firstLine="309" w:firstLineChars="150"/>
        <w:rPr>
          <w:rFonts w:hint="eastAsia" w:ascii="宋体" w:hAnsi="宋体"/>
          <w:b/>
          <w:bCs/>
          <w:sz w:val="21"/>
          <w:szCs w:val="21"/>
        </w:rPr>
      </w:pPr>
      <w:r>
        <w:rPr>
          <w:rFonts w:hint="eastAsia" w:ascii="宋体" w:hAnsi="宋体"/>
          <w:b/>
          <w:bCs/>
          <w:sz w:val="21"/>
          <w:szCs w:val="21"/>
        </w:rPr>
        <w:t>（一）获奖（受表彰）、参与各项活动（体育活动除外）申请加分标准</w:t>
      </w:r>
    </w:p>
    <w:p>
      <w:pPr>
        <w:spacing w:line="360" w:lineRule="exact"/>
        <w:ind w:firstLine="412" w:firstLineChars="200"/>
        <w:rPr>
          <w:rFonts w:hint="eastAsia" w:ascii="宋体" w:hAnsi="宋体"/>
          <w:sz w:val="21"/>
          <w:szCs w:val="21"/>
        </w:rPr>
      </w:pPr>
      <w:r>
        <w:rPr>
          <w:rFonts w:hint="eastAsia" w:ascii="宋体" w:hAnsi="宋体"/>
          <w:sz w:val="21"/>
          <w:szCs w:val="21"/>
        </w:rPr>
        <w:t>1、积极参加由校院组织的各类活动（内部有等级区分），给予适当加分。具体包括以下几个方面：</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11"/>
        <w:gridCol w:w="1600"/>
        <w:gridCol w:w="1276"/>
        <w:gridCol w:w="992"/>
        <w:gridCol w:w="99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spacing w:line="360" w:lineRule="exact"/>
              <w:ind w:firstLine="412" w:firstLineChars="200"/>
              <w:jc w:val="left"/>
              <w:rPr>
                <w:rFonts w:hint="eastAsia" w:ascii="仿宋" w:hAnsi="仿宋" w:eastAsia="仿宋"/>
                <w:sz w:val="21"/>
                <w:szCs w:val="21"/>
              </w:rPr>
            </w:pPr>
          </w:p>
        </w:tc>
        <w:tc>
          <w:tcPr>
            <w:tcW w:w="1611"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获奖情况</w:t>
            </w:r>
          </w:p>
        </w:tc>
        <w:tc>
          <w:tcPr>
            <w:tcW w:w="1600"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院级</w:t>
            </w:r>
          </w:p>
          <w:p>
            <w:pPr>
              <w:spacing w:line="360" w:lineRule="exact"/>
              <w:jc w:val="left"/>
              <w:rPr>
                <w:rFonts w:hint="eastAsia" w:ascii="仿宋" w:hAnsi="仿宋" w:eastAsia="仿宋"/>
                <w:sz w:val="21"/>
                <w:szCs w:val="21"/>
              </w:rPr>
            </w:pPr>
            <w:r>
              <w:rPr>
                <w:rFonts w:hint="eastAsia" w:ascii="仿宋" w:hAnsi="仿宋" w:eastAsia="仿宋"/>
                <w:sz w:val="21"/>
                <w:szCs w:val="21"/>
              </w:rPr>
              <w:t>（镇、街道级）</w:t>
            </w:r>
          </w:p>
        </w:tc>
        <w:tc>
          <w:tcPr>
            <w:tcW w:w="1276"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校级</w:t>
            </w:r>
          </w:p>
          <w:p>
            <w:pPr>
              <w:spacing w:line="360" w:lineRule="exact"/>
              <w:jc w:val="left"/>
              <w:rPr>
                <w:rFonts w:hint="eastAsia" w:ascii="仿宋" w:hAnsi="仿宋" w:eastAsia="仿宋"/>
                <w:sz w:val="21"/>
                <w:szCs w:val="21"/>
              </w:rPr>
            </w:pPr>
            <w:r>
              <w:rPr>
                <w:rFonts w:hint="eastAsia" w:ascii="仿宋" w:hAnsi="仿宋" w:eastAsia="仿宋"/>
                <w:sz w:val="21"/>
                <w:szCs w:val="21"/>
              </w:rPr>
              <w:t>（县、区级）</w:t>
            </w:r>
          </w:p>
        </w:tc>
        <w:tc>
          <w:tcPr>
            <w:tcW w:w="992" w:type="dxa"/>
            <w:noWrap w:val="0"/>
            <w:vAlign w:val="center"/>
          </w:tcPr>
          <w:p>
            <w:pPr>
              <w:spacing w:line="360" w:lineRule="exact"/>
              <w:ind w:firstLine="206" w:firstLineChars="100"/>
              <w:jc w:val="left"/>
              <w:rPr>
                <w:rFonts w:hint="eastAsia" w:ascii="仿宋" w:hAnsi="仿宋" w:eastAsia="仿宋"/>
                <w:sz w:val="21"/>
                <w:szCs w:val="21"/>
              </w:rPr>
            </w:pPr>
            <w:r>
              <w:rPr>
                <w:rFonts w:hint="eastAsia" w:ascii="仿宋" w:hAnsi="仿宋" w:eastAsia="仿宋"/>
                <w:sz w:val="21"/>
                <w:szCs w:val="21"/>
              </w:rPr>
              <w:t>市级</w:t>
            </w:r>
          </w:p>
        </w:tc>
        <w:tc>
          <w:tcPr>
            <w:tcW w:w="992" w:type="dxa"/>
            <w:noWrap w:val="0"/>
            <w:vAlign w:val="center"/>
          </w:tcPr>
          <w:p>
            <w:pPr>
              <w:spacing w:line="360" w:lineRule="exact"/>
              <w:ind w:firstLine="206" w:firstLineChars="100"/>
              <w:jc w:val="left"/>
              <w:rPr>
                <w:rFonts w:hint="eastAsia" w:ascii="仿宋" w:hAnsi="仿宋" w:eastAsia="仿宋"/>
                <w:sz w:val="21"/>
                <w:szCs w:val="21"/>
              </w:rPr>
            </w:pPr>
            <w:r>
              <w:rPr>
                <w:rFonts w:hint="eastAsia" w:ascii="仿宋" w:hAnsi="仿宋" w:eastAsia="仿宋"/>
                <w:sz w:val="21"/>
                <w:szCs w:val="21"/>
              </w:rPr>
              <w:t>省级</w:t>
            </w:r>
          </w:p>
        </w:tc>
        <w:tc>
          <w:tcPr>
            <w:tcW w:w="1043" w:type="dxa"/>
            <w:noWrap w:val="0"/>
            <w:vAlign w:val="center"/>
          </w:tcPr>
          <w:p>
            <w:pPr>
              <w:spacing w:line="360" w:lineRule="exact"/>
              <w:ind w:firstLine="206" w:firstLineChars="100"/>
              <w:jc w:val="left"/>
              <w:rPr>
                <w:rFonts w:hint="eastAsia" w:ascii="仿宋" w:hAnsi="仿宋" w:eastAsia="仿宋"/>
                <w:sz w:val="21"/>
                <w:szCs w:val="21"/>
              </w:rPr>
            </w:pPr>
            <w:r>
              <w:rPr>
                <w:rFonts w:hint="eastAsia" w:ascii="仿宋" w:hAnsi="仿宋" w:eastAsia="仿宋"/>
                <w:sz w:val="21"/>
                <w:szCs w:val="21"/>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restart"/>
            <w:noWrap w:val="0"/>
            <w:vAlign w:val="center"/>
          </w:tcPr>
          <w:p>
            <w:pPr>
              <w:spacing w:line="360" w:lineRule="exact"/>
              <w:jc w:val="left"/>
              <w:rPr>
                <w:rFonts w:hint="eastAsia" w:ascii="仿宋" w:hAnsi="仿宋" w:eastAsia="仿宋"/>
                <w:sz w:val="21"/>
                <w:szCs w:val="21"/>
              </w:rPr>
            </w:pPr>
            <w:r>
              <w:rPr>
                <w:rFonts w:hint="eastAsia" w:ascii="仿宋" w:hAnsi="仿宋" w:eastAsia="仿宋"/>
                <w:sz w:val="21"/>
                <w:szCs w:val="21"/>
              </w:rPr>
              <w:t>奖项类（不包括奖学金）</w:t>
            </w:r>
          </w:p>
        </w:tc>
        <w:tc>
          <w:tcPr>
            <w:tcW w:w="1611" w:type="dxa"/>
            <w:noWrap w:val="0"/>
            <w:vAlign w:val="center"/>
          </w:tcPr>
          <w:p>
            <w:pPr>
              <w:spacing w:line="360" w:lineRule="exact"/>
              <w:jc w:val="left"/>
              <w:rPr>
                <w:rFonts w:hint="eastAsia" w:ascii="仿宋" w:hAnsi="仿宋" w:eastAsia="仿宋"/>
                <w:sz w:val="21"/>
                <w:szCs w:val="21"/>
              </w:rPr>
            </w:pPr>
            <w:r>
              <w:rPr>
                <w:rFonts w:hint="eastAsia" w:ascii="仿宋" w:hAnsi="仿宋" w:eastAsia="仿宋"/>
                <w:sz w:val="21"/>
                <w:szCs w:val="21"/>
              </w:rPr>
              <w:t>特等奖/一等奖</w:t>
            </w:r>
          </w:p>
        </w:tc>
        <w:tc>
          <w:tcPr>
            <w:tcW w:w="1600"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w:t>
            </w:r>
          </w:p>
        </w:tc>
        <w:tc>
          <w:tcPr>
            <w:tcW w:w="1276"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1.5</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2</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3</w:t>
            </w:r>
          </w:p>
        </w:tc>
        <w:tc>
          <w:tcPr>
            <w:tcW w:w="10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08" w:type="dxa"/>
            <w:vMerge w:val="continue"/>
            <w:noWrap w:val="0"/>
            <w:vAlign w:val="top"/>
          </w:tcPr>
          <w:p>
            <w:pPr>
              <w:spacing w:line="360" w:lineRule="exact"/>
              <w:ind w:firstLine="412" w:firstLineChars="200"/>
              <w:jc w:val="left"/>
              <w:rPr>
                <w:rFonts w:hint="eastAsia" w:ascii="仿宋" w:hAnsi="仿宋" w:eastAsia="仿宋"/>
                <w:sz w:val="21"/>
                <w:szCs w:val="21"/>
              </w:rPr>
            </w:pPr>
          </w:p>
        </w:tc>
        <w:tc>
          <w:tcPr>
            <w:tcW w:w="1611"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二等奖</w:t>
            </w:r>
          </w:p>
        </w:tc>
        <w:tc>
          <w:tcPr>
            <w:tcW w:w="1600"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0.75</w:t>
            </w:r>
          </w:p>
        </w:tc>
        <w:tc>
          <w:tcPr>
            <w:tcW w:w="1276"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1.5</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2</w:t>
            </w:r>
          </w:p>
        </w:tc>
        <w:tc>
          <w:tcPr>
            <w:tcW w:w="10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top"/>
          </w:tcPr>
          <w:p>
            <w:pPr>
              <w:spacing w:line="360" w:lineRule="exact"/>
              <w:ind w:firstLine="412" w:firstLineChars="200"/>
              <w:jc w:val="left"/>
              <w:rPr>
                <w:rFonts w:hint="eastAsia" w:ascii="仿宋" w:hAnsi="仿宋" w:eastAsia="仿宋"/>
                <w:sz w:val="21"/>
                <w:szCs w:val="21"/>
              </w:rPr>
            </w:pPr>
          </w:p>
        </w:tc>
        <w:tc>
          <w:tcPr>
            <w:tcW w:w="1611"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三等奖</w:t>
            </w:r>
          </w:p>
        </w:tc>
        <w:tc>
          <w:tcPr>
            <w:tcW w:w="1600"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0.5</w:t>
            </w:r>
          </w:p>
        </w:tc>
        <w:tc>
          <w:tcPr>
            <w:tcW w:w="1276"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0.75</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1.5</w:t>
            </w:r>
          </w:p>
        </w:tc>
        <w:tc>
          <w:tcPr>
            <w:tcW w:w="10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top"/>
          </w:tcPr>
          <w:p>
            <w:pPr>
              <w:spacing w:line="360" w:lineRule="exact"/>
              <w:ind w:firstLine="412" w:firstLineChars="200"/>
              <w:jc w:val="left"/>
              <w:rPr>
                <w:rFonts w:hint="eastAsia" w:ascii="仿宋" w:hAnsi="仿宋" w:eastAsia="仿宋"/>
                <w:sz w:val="21"/>
                <w:szCs w:val="21"/>
              </w:rPr>
            </w:pPr>
          </w:p>
        </w:tc>
        <w:tc>
          <w:tcPr>
            <w:tcW w:w="1611" w:type="dxa"/>
            <w:noWrap w:val="0"/>
            <w:vAlign w:val="center"/>
          </w:tcPr>
          <w:p>
            <w:pPr>
              <w:spacing w:line="360" w:lineRule="exact"/>
              <w:ind w:firstLine="412" w:firstLineChars="200"/>
              <w:jc w:val="left"/>
              <w:rPr>
                <w:rFonts w:hint="eastAsia" w:ascii="仿宋" w:hAnsi="仿宋" w:eastAsia="仿宋"/>
                <w:sz w:val="21"/>
                <w:szCs w:val="21"/>
              </w:rPr>
            </w:pPr>
            <w:r>
              <w:rPr>
                <w:rFonts w:hint="eastAsia" w:ascii="仿宋" w:hAnsi="仿宋" w:eastAsia="仿宋"/>
                <w:sz w:val="21"/>
                <w:szCs w:val="21"/>
              </w:rPr>
              <w:t>优秀奖</w:t>
            </w:r>
          </w:p>
        </w:tc>
        <w:tc>
          <w:tcPr>
            <w:tcW w:w="1600"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0.2</w:t>
            </w:r>
          </w:p>
        </w:tc>
        <w:tc>
          <w:tcPr>
            <w:tcW w:w="1276"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0.3</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0.5</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0.75</w:t>
            </w:r>
          </w:p>
        </w:tc>
        <w:tc>
          <w:tcPr>
            <w:tcW w:w="10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w:t>
            </w:r>
          </w:p>
        </w:tc>
      </w:tr>
    </w:tbl>
    <w:p>
      <w:pPr>
        <w:spacing w:line="360" w:lineRule="exact"/>
        <w:ind w:firstLine="412" w:firstLineChars="200"/>
        <w:rPr>
          <w:rFonts w:ascii="宋体" w:hAnsi="宋体"/>
          <w:sz w:val="21"/>
          <w:szCs w:val="21"/>
        </w:rPr>
      </w:pPr>
      <w:r>
        <w:rPr>
          <w:rFonts w:ascii="宋体" w:hAnsi="宋体"/>
          <w:sz w:val="21"/>
          <w:szCs w:val="21"/>
        </w:rPr>
        <w:t>2</w:t>
      </w:r>
      <w:r>
        <w:rPr>
          <w:rFonts w:hint="eastAsia" w:ascii="宋体" w:hAnsi="宋体"/>
          <w:sz w:val="21"/>
          <w:szCs w:val="21"/>
        </w:rPr>
        <w:t>、校院组织的各级各类年度表彰分为综合性表彰和单项工作表彰，综合性表彰参照特等奖/一等奖申请加分，单项工作表彰参照二等奖申请加分。</w:t>
      </w:r>
    </w:p>
    <w:p>
      <w:pPr>
        <w:spacing w:line="360" w:lineRule="exact"/>
        <w:ind w:firstLine="412" w:firstLineChars="200"/>
        <w:rPr>
          <w:rFonts w:ascii="宋体" w:hAnsi="宋体"/>
          <w:sz w:val="21"/>
          <w:szCs w:val="21"/>
        </w:rPr>
      </w:pPr>
      <w:r>
        <w:rPr>
          <w:rFonts w:hint="eastAsia" w:ascii="宋体" w:hAnsi="宋体"/>
          <w:sz w:val="21"/>
          <w:szCs w:val="21"/>
        </w:rPr>
        <w:t>综合性表彰：由校、院职能部门公示的年度综合性表彰，如优秀共青团员、优秀共青团干部、优秀共产党员等；</w:t>
      </w:r>
    </w:p>
    <w:p>
      <w:pPr>
        <w:spacing w:line="360" w:lineRule="exact"/>
        <w:ind w:firstLine="412" w:firstLineChars="200"/>
        <w:rPr>
          <w:rFonts w:ascii="宋体" w:hAnsi="宋体"/>
          <w:sz w:val="21"/>
          <w:szCs w:val="21"/>
        </w:rPr>
      </w:pPr>
      <w:r>
        <w:rPr>
          <w:rFonts w:hint="eastAsia" w:ascii="宋体" w:hAnsi="宋体"/>
          <w:sz w:val="21"/>
          <w:szCs w:val="21"/>
        </w:rPr>
        <w:t>单项工作表彰：由校、院团委学生会、心协、就创协、红会、科协、社团（仅限A级）等各级学生组织公示的年度工作表彰，如优秀学生会干部、优秀学生骨干、先进个人、优秀心理委员等。</w:t>
      </w:r>
    </w:p>
    <w:p>
      <w:pPr>
        <w:numPr>
          <w:ilvl w:val="0"/>
          <w:numId w:val="2"/>
        </w:numPr>
        <w:spacing w:line="360" w:lineRule="exact"/>
        <w:ind w:firstLine="412" w:firstLineChars="200"/>
        <w:rPr>
          <w:rFonts w:hint="eastAsia" w:ascii="宋体" w:hAnsi="宋体"/>
          <w:sz w:val="24"/>
          <w:szCs w:val="21"/>
        </w:rPr>
      </w:pPr>
      <w:r>
        <w:rPr>
          <w:rFonts w:hint="eastAsia" w:ascii="宋体" w:hAnsi="宋体"/>
          <w:sz w:val="21"/>
          <w:szCs w:val="21"/>
        </w:rPr>
        <w:t>积极参加由政府、校、院组织的各类单项活动（无等级区分）获得的荣誉称号，如先进个人、优秀个人、优秀志愿者等荣誉参照下列相应级别申请加分，积极分子、无明确荣誉称号的表彰等参照下列相应级别申请二分之一加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843"/>
        <w:gridCol w:w="1417"/>
        <w:gridCol w:w="851"/>
        <w:gridCol w:w="99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top"/>
          </w:tcPr>
          <w:p>
            <w:pPr>
              <w:spacing w:line="360" w:lineRule="exact"/>
              <w:jc w:val="center"/>
              <w:rPr>
                <w:rFonts w:hint="eastAsia" w:ascii="仿宋" w:hAnsi="仿宋" w:eastAsia="仿宋"/>
                <w:sz w:val="21"/>
                <w:szCs w:val="21"/>
              </w:rPr>
            </w:pPr>
            <w:r>
              <w:rPr>
                <w:rFonts w:hint="eastAsia" w:ascii="仿宋" w:hAnsi="仿宋" w:eastAsia="仿宋"/>
                <w:sz w:val="21"/>
                <w:szCs w:val="21"/>
              </w:rPr>
              <w:t>活动</w:t>
            </w:r>
          </w:p>
          <w:p>
            <w:pPr>
              <w:spacing w:line="360" w:lineRule="exact"/>
              <w:jc w:val="center"/>
              <w:rPr>
                <w:rFonts w:hint="eastAsia" w:ascii="仿宋" w:hAnsi="仿宋" w:eastAsia="仿宋"/>
                <w:sz w:val="21"/>
                <w:szCs w:val="21"/>
              </w:rPr>
            </w:pPr>
            <w:r>
              <w:rPr>
                <w:rFonts w:hint="eastAsia" w:ascii="仿宋" w:hAnsi="仿宋" w:eastAsia="仿宋"/>
                <w:sz w:val="21"/>
                <w:szCs w:val="21"/>
              </w:rPr>
              <w:t>等级</w:t>
            </w:r>
          </w:p>
        </w:tc>
        <w:tc>
          <w:tcPr>
            <w:tcW w:w="18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院级</w:t>
            </w:r>
          </w:p>
          <w:p>
            <w:pPr>
              <w:spacing w:line="360" w:lineRule="exact"/>
              <w:jc w:val="center"/>
              <w:rPr>
                <w:rFonts w:hint="eastAsia" w:ascii="仿宋" w:hAnsi="仿宋" w:eastAsia="仿宋"/>
                <w:sz w:val="21"/>
                <w:szCs w:val="21"/>
              </w:rPr>
            </w:pPr>
            <w:r>
              <w:rPr>
                <w:rFonts w:hint="eastAsia" w:ascii="仿宋" w:hAnsi="仿宋" w:eastAsia="仿宋"/>
                <w:sz w:val="21"/>
                <w:szCs w:val="21"/>
              </w:rPr>
              <w:t>（镇、街道级）</w:t>
            </w:r>
          </w:p>
        </w:tc>
        <w:tc>
          <w:tcPr>
            <w:tcW w:w="1417"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校级</w:t>
            </w:r>
          </w:p>
          <w:p>
            <w:pPr>
              <w:spacing w:line="360" w:lineRule="exact"/>
              <w:jc w:val="center"/>
              <w:rPr>
                <w:rFonts w:hint="eastAsia" w:ascii="仿宋" w:hAnsi="仿宋" w:eastAsia="仿宋"/>
                <w:sz w:val="21"/>
                <w:szCs w:val="21"/>
              </w:rPr>
            </w:pPr>
            <w:r>
              <w:rPr>
                <w:rFonts w:hint="eastAsia" w:ascii="仿宋" w:hAnsi="仿宋" w:eastAsia="仿宋"/>
                <w:sz w:val="21"/>
                <w:szCs w:val="21"/>
              </w:rPr>
              <w:t>（县、区级）</w:t>
            </w:r>
          </w:p>
        </w:tc>
        <w:tc>
          <w:tcPr>
            <w:tcW w:w="851"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市级</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省级</w:t>
            </w:r>
          </w:p>
        </w:tc>
        <w:tc>
          <w:tcPr>
            <w:tcW w:w="1087"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表彰</w:t>
            </w:r>
          </w:p>
          <w:p>
            <w:pPr>
              <w:spacing w:line="360" w:lineRule="exact"/>
              <w:jc w:val="center"/>
              <w:rPr>
                <w:rFonts w:hint="eastAsia" w:ascii="仿宋" w:hAnsi="仿宋" w:eastAsia="仿宋"/>
                <w:sz w:val="21"/>
                <w:szCs w:val="21"/>
              </w:rPr>
            </w:pPr>
            <w:r>
              <w:rPr>
                <w:rFonts w:hint="eastAsia" w:ascii="仿宋" w:hAnsi="仿宋" w:eastAsia="仿宋"/>
                <w:sz w:val="21"/>
                <w:szCs w:val="21"/>
              </w:rPr>
              <w:t>分值</w:t>
            </w:r>
          </w:p>
        </w:tc>
        <w:tc>
          <w:tcPr>
            <w:tcW w:w="1843"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0.1</w:t>
            </w:r>
          </w:p>
        </w:tc>
        <w:tc>
          <w:tcPr>
            <w:tcW w:w="1417"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0.2</w:t>
            </w:r>
          </w:p>
        </w:tc>
        <w:tc>
          <w:tcPr>
            <w:tcW w:w="851"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0.3</w:t>
            </w:r>
          </w:p>
        </w:tc>
        <w:tc>
          <w:tcPr>
            <w:tcW w:w="992"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0.5</w:t>
            </w:r>
          </w:p>
        </w:tc>
        <w:tc>
          <w:tcPr>
            <w:tcW w:w="1087" w:type="dxa"/>
            <w:noWrap w:val="0"/>
            <w:vAlign w:val="center"/>
          </w:tcPr>
          <w:p>
            <w:pPr>
              <w:spacing w:line="360" w:lineRule="exact"/>
              <w:jc w:val="center"/>
              <w:rPr>
                <w:rFonts w:hint="eastAsia" w:ascii="仿宋" w:hAnsi="仿宋" w:eastAsia="仿宋"/>
                <w:sz w:val="21"/>
                <w:szCs w:val="21"/>
              </w:rPr>
            </w:pPr>
            <w:r>
              <w:rPr>
                <w:rFonts w:hint="eastAsia" w:ascii="仿宋" w:hAnsi="仿宋" w:eastAsia="仿宋"/>
                <w:sz w:val="21"/>
                <w:szCs w:val="21"/>
              </w:rPr>
              <w:t>1</w:t>
            </w:r>
          </w:p>
        </w:tc>
      </w:tr>
    </w:tbl>
    <w:p>
      <w:pPr>
        <w:spacing w:line="360" w:lineRule="exact"/>
        <w:ind w:firstLine="412" w:firstLineChars="200"/>
        <w:rPr>
          <w:rFonts w:ascii="宋体" w:hAnsi="宋体"/>
          <w:sz w:val="21"/>
          <w:szCs w:val="21"/>
        </w:rPr>
      </w:pPr>
      <w:r>
        <w:rPr>
          <w:rFonts w:hint="eastAsia" w:ascii="宋体" w:hAnsi="宋体"/>
          <w:sz w:val="21"/>
          <w:szCs w:val="21"/>
        </w:rPr>
        <w:t>4、参与由其它学院承办的校级活动（受表彰）可计入，其余均不计入，校级活动以证书内相关职能部门落款盖章为准。（转专业学生在转专业前参与原学院的活动获奖和表彰可计入）</w:t>
      </w:r>
    </w:p>
    <w:p>
      <w:pPr>
        <w:spacing w:line="360" w:lineRule="exact"/>
        <w:ind w:firstLine="412" w:firstLineChars="200"/>
        <w:rPr>
          <w:rFonts w:hint="eastAsia" w:ascii="宋体" w:hAnsi="宋体"/>
          <w:sz w:val="21"/>
          <w:szCs w:val="21"/>
        </w:rPr>
      </w:pPr>
      <w:r>
        <w:rPr>
          <w:rFonts w:hint="eastAsia" w:ascii="宋体" w:hAnsi="宋体"/>
          <w:sz w:val="21"/>
          <w:szCs w:val="21"/>
        </w:rPr>
        <w:t>5、所有获奖、表彰区分等级，以奖状落款盖章单位为准，所获奖项均应为上一年度9月到当年8月。以上各等级分值均为个人得分，集体获奖成员减半加分。</w:t>
      </w:r>
    </w:p>
    <w:p>
      <w:pPr>
        <w:spacing w:line="360" w:lineRule="exact"/>
        <w:ind w:firstLine="412" w:firstLineChars="200"/>
        <w:rPr>
          <w:rFonts w:hint="eastAsia" w:ascii="宋体" w:hAnsi="宋体"/>
          <w:b/>
          <w:bCs/>
          <w:sz w:val="21"/>
          <w:szCs w:val="21"/>
        </w:rPr>
      </w:pPr>
      <w:r>
        <w:rPr>
          <w:rFonts w:hint="eastAsia" w:ascii="宋体" w:hAnsi="宋体"/>
          <w:b/>
          <w:bCs/>
          <w:sz w:val="21"/>
          <w:szCs w:val="21"/>
        </w:rPr>
        <w:t>（二）学生干部申请加分标准（任职时间需要满1年）（承担职务的最高分值可以加全分，其他职务减半加分）：</w:t>
      </w:r>
    </w:p>
    <w:p>
      <w:pPr>
        <w:spacing w:line="360" w:lineRule="exact"/>
        <w:ind w:firstLine="412" w:firstLineChars="200"/>
        <w:rPr>
          <w:rFonts w:hint="eastAsia" w:ascii="宋体" w:hAnsi="宋体"/>
          <w:sz w:val="21"/>
          <w:szCs w:val="21"/>
        </w:rPr>
      </w:pPr>
      <w:r>
        <w:rPr>
          <w:rFonts w:hint="eastAsia" w:ascii="宋体" w:hAnsi="宋体"/>
          <w:sz w:val="21"/>
          <w:szCs w:val="21"/>
        </w:rPr>
        <w:t>1、班长、团支书最高可申请加</w:t>
      </w:r>
      <w:r>
        <w:rPr>
          <w:rFonts w:ascii="宋体" w:hAnsi="宋体"/>
          <w:sz w:val="21"/>
          <w:szCs w:val="21"/>
        </w:rPr>
        <w:t>1</w:t>
      </w:r>
      <w:r>
        <w:rPr>
          <w:rFonts w:hint="eastAsia" w:ascii="宋体" w:hAnsi="宋体"/>
          <w:sz w:val="21"/>
          <w:szCs w:val="21"/>
        </w:rPr>
        <w:t>分，班主任助理、班级其他干部、委员、舍长可申请0</w:t>
      </w:r>
      <w:r>
        <w:rPr>
          <w:rFonts w:ascii="宋体" w:hAnsi="宋体"/>
          <w:sz w:val="21"/>
          <w:szCs w:val="21"/>
        </w:rPr>
        <w:t>.5-0.8</w:t>
      </w:r>
      <w:r>
        <w:rPr>
          <w:rFonts w:hint="eastAsia" w:ascii="宋体" w:hAnsi="宋体"/>
          <w:sz w:val="21"/>
          <w:szCs w:val="21"/>
        </w:rPr>
        <w:t>分，</w:t>
      </w:r>
      <w:r>
        <w:rPr>
          <w:rFonts w:hint="eastAsia" w:ascii="宋体" w:hAnsi="宋体"/>
          <w:b/>
          <w:bCs/>
          <w:sz w:val="21"/>
          <w:szCs w:val="21"/>
        </w:rPr>
        <w:t>分值由班主任和辅导员根据当年相应职务工作量具体确定。</w:t>
      </w:r>
    </w:p>
    <w:p>
      <w:pPr>
        <w:spacing w:line="360" w:lineRule="exact"/>
        <w:ind w:firstLine="412" w:firstLineChars="200"/>
        <w:rPr>
          <w:rFonts w:ascii="宋体" w:hAnsi="宋体"/>
          <w:sz w:val="21"/>
          <w:szCs w:val="21"/>
        </w:rPr>
      </w:pPr>
      <w:r>
        <w:rPr>
          <w:rFonts w:hint="eastAsia" w:ascii="宋体" w:hAnsi="宋体"/>
          <w:sz w:val="21"/>
          <w:szCs w:val="21"/>
        </w:rPr>
        <w:t>2、校、院团委学生会、心理协会、红十字协会、就业创业协会、年级分会团总支主席（书记）团成员最高可申请加</w:t>
      </w:r>
      <w:r>
        <w:rPr>
          <w:rFonts w:ascii="宋体" w:hAnsi="宋体"/>
          <w:sz w:val="21"/>
          <w:szCs w:val="21"/>
        </w:rPr>
        <w:t>1</w:t>
      </w:r>
      <w:r>
        <w:rPr>
          <w:rFonts w:hint="eastAsia" w:ascii="宋体" w:hAnsi="宋体"/>
          <w:sz w:val="21"/>
          <w:szCs w:val="21"/>
        </w:rPr>
        <w:t>分，部长、副部长、工作人员最高可申请0</w:t>
      </w:r>
      <w:r>
        <w:rPr>
          <w:rFonts w:ascii="宋体" w:hAnsi="宋体"/>
          <w:sz w:val="21"/>
          <w:szCs w:val="21"/>
        </w:rPr>
        <w:t>.75</w:t>
      </w:r>
      <w:r>
        <w:rPr>
          <w:rFonts w:hint="eastAsia" w:ascii="宋体" w:hAnsi="宋体"/>
          <w:sz w:val="21"/>
          <w:szCs w:val="21"/>
        </w:rPr>
        <w:t>分，团委学生会骨干、干事等其他学生干部最高可申请0</w:t>
      </w:r>
      <w:r>
        <w:rPr>
          <w:rFonts w:ascii="宋体" w:hAnsi="宋体"/>
          <w:sz w:val="21"/>
          <w:szCs w:val="21"/>
        </w:rPr>
        <w:t>.5</w:t>
      </w:r>
      <w:r>
        <w:rPr>
          <w:rFonts w:hint="eastAsia" w:ascii="宋体" w:hAnsi="宋体"/>
          <w:sz w:val="21"/>
          <w:szCs w:val="21"/>
        </w:rPr>
        <w:t>分。</w:t>
      </w:r>
    </w:p>
    <w:p>
      <w:pPr>
        <w:spacing w:line="360" w:lineRule="exact"/>
        <w:ind w:firstLine="412" w:firstLineChars="200"/>
        <w:rPr>
          <w:rFonts w:hint="eastAsia" w:ascii="宋体" w:hAnsi="宋体"/>
          <w:sz w:val="21"/>
          <w:szCs w:val="21"/>
        </w:rPr>
      </w:pPr>
      <w:r>
        <w:rPr>
          <w:rFonts w:hint="eastAsia" w:ascii="宋体" w:hAnsi="宋体"/>
          <w:sz w:val="21"/>
          <w:szCs w:val="21"/>
        </w:rPr>
        <w:t>其它校级职能部门下设的学生组织、社团（仅限A级）等主要负责人可申请0</w:t>
      </w:r>
      <w:r>
        <w:rPr>
          <w:rFonts w:ascii="宋体" w:hAnsi="宋体"/>
          <w:sz w:val="21"/>
          <w:szCs w:val="21"/>
        </w:rPr>
        <w:t>.75</w:t>
      </w:r>
      <w:r>
        <w:rPr>
          <w:rFonts w:hint="eastAsia" w:ascii="宋体" w:hAnsi="宋体"/>
          <w:sz w:val="21"/>
          <w:szCs w:val="21"/>
        </w:rPr>
        <w:t>分，其他学生干部可申请0</w:t>
      </w:r>
      <w:r>
        <w:rPr>
          <w:rFonts w:ascii="宋体" w:hAnsi="宋体"/>
          <w:sz w:val="21"/>
          <w:szCs w:val="21"/>
        </w:rPr>
        <w:t>.5</w:t>
      </w:r>
      <w:r>
        <w:rPr>
          <w:rFonts w:hint="eastAsia" w:ascii="宋体" w:hAnsi="宋体"/>
          <w:sz w:val="21"/>
          <w:szCs w:val="21"/>
        </w:rPr>
        <w:t>分；社团（考核合格）主要负责人可申请</w:t>
      </w:r>
      <w:r>
        <w:rPr>
          <w:rFonts w:ascii="宋体" w:hAnsi="宋体"/>
          <w:sz w:val="21"/>
          <w:szCs w:val="21"/>
        </w:rPr>
        <w:t>0.3</w:t>
      </w:r>
      <w:r>
        <w:rPr>
          <w:rFonts w:hint="eastAsia" w:ascii="宋体" w:hAnsi="宋体"/>
          <w:sz w:val="21"/>
          <w:szCs w:val="21"/>
        </w:rPr>
        <w:t>分。</w:t>
      </w:r>
    </w:p>
    <w:p>
      <w:pPr>
        <w:spacing w:line="360" w:lineRule="exact"/>
        <w:rPr>
          <w:rFonts w:hint="eastAsia" w:ascii="宋体" w:hAnsi="宋体"/>
          <w:sz w:val="21"/>
          <w:szCs w:val="21"/>
        </w:rPr>
      </w:pPr>
      <w:r>
        <w:rPr>
          <w:rFonts w:hint="eastAsia" w:ascii="宋体" w:hAnsi="宋体"/>
          <w:color w:val="000000"/>
          <w:sz w:val="21"/>
          <w:szCs w:val="21"/>
        </w:rPr>
        <w:t xml:space="preserve">    （</w:t>
      </w:r>
      <w:r>
        <w:rPr>
          <w:rFonts w:hint="eastAsia" w:ascii="楷体_GB2312" w:hAnsi="宋体" w:eastAsia="楷体_GB2312"/>
          <w:color w:val="000000"/>
          <w:sz w:val="21"/>
          <w:szCs w:val="21"/>
        </w:rPr>
        <w:t>注：以上任职均需本人提出申请，院级及以下干部无需提供任职证明。校级干部</w:t>
      </w:r>
      <w:r>
        <w:rPr>
          <w:rFonts w:hint="eastAsia" w:ascii="楷体_GB2312" w:hAnsi="宋体" w:eastAsia="楷体_GB2312"/>
          <w:sz w:val="21"/>
          <w:szCs w:val="21"/>
        </w:rPr>
        <w:t>提出申请的同时，还需提供任职证明。以上各类任职的申请需由院团委副书记、辅导员、班主任根据实际工作情况进行认定、审批，给予加减分。</w:t>
      </w:r>
      <w:r>
        <w:rPr>
          <w:rFonts w:hint="eastAsia" w:ascii="宋体" w:hAnsi="宋体"/>
          <w:sz w:val="21"/>
          <w:szCs w:val="21"/>
        </w:rPr>
        <w:t>）</w:t>
      </w:r>
    </w:p>
    <w:p>
      <w:pPr>
        <w:spacing w:line="360" w:lineRule="exact"/>
        <w:ind w:firstLine="412" w:firstLineChars="200"/>
        <w:rPr>
          <w:rFonts w:hint="eastAsia" w:ascii="宋体" w:hAnsi="宋体"/>
          <w:b/>
          <w:bCs/>
          <w:sz w:val="21"/>
          <w:szCs w:val="21"/>
        </w:rPr>
      </w:pPr>
      <w:r>
        <w:rPr>
          <w:rFonts w:hint="eastAsia" w:ascii="宋体" w:hAnsi="宋体"/>
          <w:b/>
          <w:bCs/>
          <w:sz w:val="21"/>
          <w:szCs w:val="21"/>
        </w:rPr>
        <w:t>（三）参加各项活动类申请加分标准</w:t>
      </w:r>
    </w:p>
    <w:p>
      <w:pPr>
        <w:spacing w:line="360" w:lineRule="exact"/>
        <w:ind w:firstLine="412" w:firstLineChars="200"/>
        <w:rPr>
          <w:rFonts w:hint="eastAsia" w:ascii="宋体" w:hAnsi="宋体"/>
          <w:sz w:val="21"/>
          <w:szCs w:val="21"/>
        </w:rPr>
      </w:pPr>
      <w:r>
        <w:rPr>
          <w:rFonts w:ascii="宋体" w:hAnsi="宋体"/>
          <w:sz w:val="21"/>
          <w:szCs w:val="21"/>
        </w:rPr>
        <w:t>1</w:t>
      </w:r>
      <w:r>
        <w:rPr>
          <w:rFonts w:hint="eastAsia" w:ascii="宋体" w:hAnsi="宋体"/>
          <w:sz w:val="21"/>
          <w:szCs w:val="21"/>
        </w:rPr>
        <w:t>、运动会参赛者（凡参加校、院运动会，运动会方阵，无关名次，均可加分，两者都参加也只加一次，获得名次的在体育加分里累计加分）可申请加</w:t>
      </w:r>
      <w:r>
        <w:rPr>
          <w:rFonts w:ascii="宋体" w:hAnsi="宋体"/>
          <w:sz w:val="21"/>
          <w:szCs w:val="21"/>
        </w:rPr>
        <w:t>0.25</w:t>
      </w:r>
      <w:r>
        <w:rPr>
          <w:rFonts w:hint="eastAsia" w:ascii="宋体" w:hAnsi="宋体"/>
          <w:sz w:val="21"/>
          <w:szCs w:val="21"/>
        </w:rPr>
        <w:t>分。</w:t>
      </w:r>
    </w:p>
    <w:p>
      <w:pPr>
        <w:spacing w:line="360" w:lineRule="exact"/>
        <w:ind w:firstLine="412" w:firstLineChars="200"/>
        <w:rPr>
          <w:rFonts w:hint="eastAsia" w:ascii="宋体" w:hAnsi="宋体"/>
          <w:sz w:val="21"/>
          <w:szCs w:val="21"/>
        </w:rPr>
      </w:pPr>
      <w:r>
        <w:rPr>
          <w:rFonts w:ascii="宋体" w:hAnsi="宋体"/>
          <w:sz w:val="21"/>
          <w:szCs w:val="21"/>
        </w:rPr>
        <w:t>2</w:t>
      </w:r>
      <w:r>
        <w:rPr>
          <w:rFonts w:hint="eastAsia" w:ascii="宋体" w:hAnsi="宋体"/>
          <w:sz w:val="21"/>
          <w:szCs w:val="21"/>
        </w:rPr>
        <w:t>、院级寒暑期社会实践小分队成员加0.</w:t>
      </w:r>
      <w:r>
        <w:rPr>
          <w:rFonts w:ascii="宋体" w:hAnsi="宋体"/>
          <w:sz w:val="21"/>
          <w:szCs w:val="21"/>
        </w:rPr>
        <w:t>1</w:t>
      </w:r>
      <w:r>
        <w:rPr>
          <w:rFonts w:hint="eastAsia" w:ascii="宋体" w:hAnsi="宋体"/>
          <w:sz w:val="21"/>
          <w:szCs w:val="21"/>
        </w:rPr>
        <w:t>分，校级寒暑期社会实践小分队成员加</w:t>
      </w:r>
      <w:r>
        <w:rPr>
          <w:rFonts w:ascii="宋体" w:hAnsi="宋体"/>
          <w:sz w:val="21"/>
          <w:szCs w:val="21"/>
        </w:rPr>
        <w:t>0.2</w:t>
      </w:r>
      <w:r>
        <w:rPr>
          <w:rFonts w:hint="eastAsia" w:ascii="宋体" w:hAnsi="宋体"/>
          <w:sz w:val="21"/>
          <w:szCs w:val="21"/>
        </w:rPr>
        <w:t>分。如所参加的项目获得先进个人、各级奖项，则就高加分，不累计加分。</w:t>
      </w:r>
    </w:p>
    <w:p>
      <w:pPr>
        <w:spacing w:line="360" w:lineRule="exact"/>
        <w:ind w:firstLine="412" w:firstLineChars="200"/>
        <w:rPr>
          <w:rFonts w:hint="eastAsia" w:ascii="宋体" w:hAnsi="宋体"/>
          <w:sz w:val="21"/>
          <w:szCs w:val="21"/>
        </w:rPr>
      </w:pPr>
      <w:r>
        <w:rPr>
          <w:rFonts w:hint="eastAsia" w:ascii="宋体" w:hAnsi="宋体"/>
          <w:sz w:val="21"/>
          <w:szCs w:val="21"/>
        </w:rPr>
        <w:t>（</w:t>
      </w:r>
      <w:r>
        <w:rPr>
          <w:rFonts w:hint="eastAsia" w:ascii="楷体_GB2312" w:hAnsi="宋体" w:eastAsia="楷体_GB2312"/>
          <w:sz w:val="21"/>
          <w:szCs w:val="21"/>
        </w:rPr>
        <w:t>注：以上由院团委出具加分证明，无需个人开具证明，但本人必须提出申请。</w:t>
      </w:r>
      <w:r>
        <w:rPr>
          <w:rFonts w:hint="eastAsia" w:ascii="宋体" w:hAnsi="宋体"/>
          <w:sz w:val="21"/>
          <w:szCs w:val="21"/>
        </w:rPr>
        <w:t>）</w:t>
      </w:r>
    </w:p>
    <w:p>
      <w:pPr>
        <w:spacing w:line="360" w:lineRule="exact"/>
        <w:ind w:firstLine="412" w:firstLineChars="200"/>
        <w:rPr>
          <w:rFonts w:hint="eastAsia" w:ascii="宋体" w:hAnsi="宋体"/>
          <w:sz w:val="21"/>
          <w:szCs w:val="21"/>
        </w:rPr>
      </w:pPr>
      <w:r>
        <w:rPr>
          <w:rFonts w:hint="eastAsia" w:ascii="宋体" w:hAnsi="宋体"/>
          <w:b/>
          <w:bCs/>
          <w:sz w:val="21"/>
          <w:szCs w:val="21"/>
        </w:rPr>
        <w:t>（四）各类报刊、主流媒体平台投稿发表（不包括学术论文）加分</w:t>
      </w:r>
      <w:r>
        <w:rPr>
          <w:rFonts w:hint="eastAsia" w:ascii="宋体" w:hAnsi="宋体"/>
          <w:sz w:val="21"/>
          <w:szCs w:val="21"/>
        </w:rPr>
        <w:t>，国家级加</w:t>
      </w:r>
      <w:r>
        <w:rPr>
          <w:rFonts w:ascii="宋体" w:hAnsi="宋体"/>
          <w:sz w:val="21"/>
          <w:szCs w:val="21"/>
        </w:rPr>
        <w:t>1.5</w:t>
      </w:r>
      <w:r>
        <w:rPr>
          <w:rFonts w:hint="eastAsia" w:ascii="宋体" w:hAnsi="宋体"/>
          <w:sz w:val="21"/>
          <w:szCs w:val="21"/>
        </w:rPr>
        <w:t>分，省级加</w:t>
      </w:r>
      <w:r>
        <w:rPr>
          <w:rFonts w:ascii="宋体" w:hAnsi="宋体"/>
          <w:sz w:val="21"/>
          <w:szCs w:val="21"/>
        </w:rPr>
        <w:t>1</w:t>
      </w:r>
      <w:r>
        <w:rPr>
          <w:rFonts w:hint="eastAsia" w:ascii="宋体" w:hAnsi="宋体"/>
          <w:sz w:val="21"/>
          <w:szCs w:val="21"/>
        </w:rPr>
        <w:t>分，市级加</w:t>
      </w:r>
      <w:r>
        <w:rPr>
          <w:rFonts w:ascii="宋体" w:hAnsi="宋体"/>
          <w:sz w:val="21"/>
          <w:szCs w:val="21"/>
        </w:rPr>
        <w:t>0.5</w:t>
      </w:r>
      <w:r>
        <w:rPr>
          <w:rFonts w:hint="eastAsia" w:ascii="宋体" w:hAnsi="宋体"/>
          <w:sz w:val="21"/>
          <w:szCs w:val="21"/>
        </w:rPr>
        <w:t>分。若为合著，第一作者按上述标准分值70%加分，其他成员减半加分。本项最高加分不超过</w:t>
      </w:r>
      <w:r>
        <w:rPr>
          <w:rFonts w:ascii="宋体" w:hAnsi="宋体"/>
          <w:sz w:val="21"/>
          <w:szCs w:val="21"/>
        </w:rPr>
        <w:t>3</w:t>
      </w:r>
      <w:r>
        <w:rPr>
          <w:rFonts w:hint="eastAsia" w:ascii="宋体" w:hAnsi="宋体"/>
          <w:sz w:val="21"/>
          <w:szCs w:val="21"/>
        </w:rPr>
        <w:t>分。级别根据主管单位确定。</w:t>
      </w:r>
    </w:p>
    <w:p>
      <w:pPr>
        <w:spacing w:line="360" w:lineRule="exact"/>
        <w:ind w:firstLine="412" w:firstLineChars="200"/>
        <w:rPr>
          <w:rFonts w:ascii="宋体" w:hAnsi="宋体"/>
          <w:b/>
          <w:bCs/>
          <w:sz w:val="21"/>
          <w:szCs w:val="21"/>
        </w:rPr>
      </w:pPr>
      <w:r>
        <w:rPr>
          <w:rFonts w:hint="eastAsia" w:ascii="宋体" w:hAnsi="宋体"/>
          <w:b/>
          <w:bCs/>
          <w:sz w:val="21"/>
          <w:szCs w:val="21"/>
        </w:rPr>
        <w:t>（五）文明宿舍、特色团小组每名成员加0</w:t>
      </w:r>
      <w:r>
        <w:rPr>
          <w:rFonts w:ascii="宋体" w:hAnsi="宋体"/>
          <w:b/>
          <w:bCs/>
          <w:sz w:val="21"/>
          <w:szCs w:val="21"/>
        </w:rPr>
        <w:t>.1</w:t>
      </w:r>
      <w:r>
        <w:rPr>
          <w:rFonts w:hint="eastAsia" w:ascii="宋体" w:hAnsi="宋体"/>
          <w:b/>
          <w:bCs/>
          <w:sz w:val="21"/>
          <w:szCs w:val="21"/>
        </w:rPr>
        <w:t>分，文明宿舍标兵每名成员加</w:t>
      </w:r>
      <w:r>
        <w:rPr>
          <w:rFonts w:ascii="宋体" w:hAnsi="宋体"/>
          <w:b/>
          <w:bCs/>
          <w:sz w:val="21"/>
          <w:szCs w:val="21"/>
        </w:rPr>
        <w:t>0.2</w:t>
      </w:r>
      <w:r>
        <w:rPr>
          <w:rFonts w:hint="eastAsia" w:ascii="宋体" w:hAnsi="宋体"/>
          <w:b/>
          <w:bCs/>
          <w:sz w:val="21"/>
          <w:szCs w:val="21"/>
        </w:rPr>
        <w:t>分。</w:t>
      </w:r>
    </w:p>
    <w:p>
      <w:pPr>
        <w:spacing w:line="360" w:lineRule="exact"/>
        <w:ind w:firstLine="412" w:firstLineChars="200"/>
        <w:rPr>
          <w:rFonts w:hint="eastAsia" w:ascii="楷体_GB2312" w:hAnsi="宋体" w:eastAsia="楷体_GB2312"/>
          <w:sz w:val="21"/>
          <w:szCs w:val="21"/>
        </w:rPr>
      </w:pPr>
      <w:r>
        <w:rPr>
          <w:rFonts w:hint="eastAsia" w:ascii="楷体_GB2312" w:hAnsi="宋体" w:eastAsia="楷体_GB2312"/>
          <w:sz w:val="21"/>
          <w:szCs w:val="21"/>
        </w:rPr>
        <w:t>（注：同类加减分不重复计算。上学年获得省市校三好学生、优秀学生干部、x等奖学金等是在上一学年综合测评的基础上评定的，因此不作为本次综合测评的依据，不予加分。）</w:t>
      </w:r>
    </w:p>
    <w:p>
      <w:pPr>
        <w:spacing w:line="360" w:lineRule="exact"/>
        <w:ind w:firstLine="412" w:firstLineChars="200"/>
        <w:rPr>
          <w:rFonts w:hint="eastAsia" w:ascii="宋体" w:hAnsi="宋体"/>
          <w:sz w:val="21"/>
          <w:szCs w:val="21"/>
        </w:rPr>
      </w:pPr>
    </w:p>
    <w:p>
      <w:pPr>
        <w:spacing w:line="360" w:lineRule="exact"/>
        <w:ind w:firstLine="412" w:firstLineChars="200"/>
        <w:rPr>
          <w:rFonts w:hint="eastAsia" w:ascii="宋体" w:hAnsi="宋体"/>
          <w:b/>
          <w:bCs/>
          <w:sz w:val="21"/>
          <w:szCs w:val="21"/>
        </w:rPr>
      </w:pPr>
      <w:r>
        <w:rPr>
          <w:rFonts w:hint="eastAsia" w:ascii="宋体" w:hAnsi="宋体"/>
          <w:b/>
          <w:bCs/>
          <w:sz w:val="21"/>
          <w:szCs w:val="21"/>
        </w:rPr>
        <w:t>三、德育减分细则</w:t>
      </w:r>
    </w:p>
    <w:p>
      <w:pPr>
        <w:spacing w:line="360" w:lineRule="exact"/>
        <w:ind w:firstLine="412" w:firstLineChars="200"/>
        <w:rPr>
          <w:rFonts w:hint="eastAsia" w:ascii="宋体" w:hAnsi="宋体"/>
          <w:sz w:val="21"/>
          <w:szCs w:val="21"/>
        </w:rPr>
      </w:pPr>
      <w:r>
        <w:rPr>
          <w:rFonts w:hint="eastAsia" w:ascii="宋体" w:hAnsi="宋体"/>
          <w:sz w:val="21"/>
          <w:szCs w:val="21"/>
        </w:rPr>
        <w:t>1、迟到、早退者每人次扣除德育分0.1分，旷课者每学时扣除0.15分。</w:t>
      </w:r>
    </w:p>
    <w:p>
      <w:pPr>
        <w:spacing w:line="360" w:lineRule="exact"/>
        <w:ind w:firstLine="309" w:firstLineChars="150"/>
        <w:rPr>
          <w:rFonts w:hint="eastAsia" w:ascii="宋体" w:hAnsi="宋体"/>
          <w:sz w:val="21"/>
          <w:szCs w:val="21"/>
        </w:rPr>
      </w:pPr>
      <w:r>
        <w:rPr>
          <w:rFonts w:hint="eastAsia" w:ascii="宋体" w:hAnsi="宋体"/>
          <w:sz w:val="21"/>
          <w:szCs w:val="21"/>
        </w:rPr>
        <w:t xml:space="preserve"> 2、凡是事假，病假均需要出示相关证明；未请假擅自离校者或假后未按时返校、没请假者每次扣1分。</w:t>
      </w:r>
    </w:p>
    <w:p>
      <w:pPr>
        <w:spacing w:line="360" w:lineRule="exact"/>
        <w:ind w:firstLine="412" w:firstLineChars="200"/>
        <w:rPr>
          <w:rFonts w:hint="eastAsia" w:ascii="宋体" w:hAnsi="宋体"/>
          <w:sz w:val="21"/>
          <w:szCs w:val="21"/>
        </w:rPr>
      </w:pPr>
      <w:r>
        <w:rPr>
          <w:rFonts w:hint="eastAsia" w:ascii="宋体" w:hAnsi="宋体"/>
          <w:sz w:val="21"/>
          <w:szCs w:val="21"/>
        </w:rPr>
        <w:t>3、宿舍卫生成绩不合格（低于6</w:t>
      </w:r>
      <w:r>
        <w:rPr>
          <w:rFonts w:ascii="宋体" w:hAnsi="宋体"/>
          <w:sz w:val="21"/>
          <w:szCs w:val="21"/>
        </w:rPr>
        <w:t>0</w:t>
      </w:r>
      <w:r>
        <w:rPr>
          <w:rFonts w:hint="eastAsia" w:ascii="宋体" w:hAnsi="宋体"/>
          <w:sz w:val="21"/>
          <w:szCs w:val="21"/>
        </w:rPr>
        <w:t>分）一次扣</w:t>
      </w:r>
      <w:r>
        <w:rPr>
          <w:rFonts w:ascii="宋体" w:hAnsi="宋体"/>
          <w:sz w:val="21"/>
          <w:szCs w:val="21"/>
        </w:rPr>
        <w:t>1</w:t>
      </w:r>
      <w:r>
        <w:rPr>
          <w:rFonts w:hint="eastAsia" w:ascii="宋体" w:hAnsi="宋体"/>
          <w:sz w:val="21"/>
          <w:szCs w:val="21"/>
        </w:rPr>
        <w:t>分，违章用电者一次扣5分，夜不归宿者一次扣5分。</w:t>
      </w:r>
    </w:p>
    <w:p>
      <w:pPr>
        <w:spacing w:line="360" w:lineRule="exact"/>
        <w:ind w:firstLine="412" w:firstLineChars="200"/>
        <w:rPr>
          <w:rFonts w:ascii="宋体" w:hAnsi="宋体"/>
          <w:sz w:val="21"/>
          <w:szCs w:val="21"/>
        </w:rPr>
      </w:pPr>
      <w:r>
        <w:rPr>
          <w:rFonts w:hint="eastAsia" w:ascii="宋体" w:hAnsi="宋体"/>
          <w:sz w:val="21"/>
          <w:szCs w:val="21"/>
        </w:rPr>
        <w:t>4、受留校察看、记过、严重警告、警告、通报批评处分，分别扣10、7、5、3、2.5分。</w:t>
      </w:r>
    </w:p>
    <w:p>
      <w:pPr>
        <w:spacing w:line="360" w:lineRule="exact"/>
        <w:ind w:firstLine="412" w:firstLineChars="200"/>
        <w:rPr>
          <w:rFonts w:ascii="宋体" w:hAnsi="宋体"/>
          <w:sz w:val="21"/>
          <w:szCs w:val="21"/>
        </w:rPr>
      </w:pPr>
      <w:r>
        <w:rPr>
          <w:rFonts w:hint="eastAsia" w:ascii="宋体" w:hAnsi="宋体"/>
          <w:sz w:val="21"/>
          <w:szCs w:val="21"/>
        </w:rPr>
        <w:t>5、“青年大学习”个人全年完成率不满6</w:t>
      </w:r>
      <w:r>
        <w:rPr>
          <w:rFonts w:ascii="宋体" w:hAnsi="宋体"/>
          <w:sz w:val="21"/>
          <w:szCs w:val="21"/>
        </w:rPr>
        <w:t>0</w:t>
      </w:r>
      <w:r>
        <w:rPr>
          <w:rFonts w:hint="eastAsia" w:ascii="宋体" w:hAnsi="宋体"/>
          <w:sz w:val="21"/>
          <w:szCs w:val="21"/>
        </w:rPr>
        <w:t>%，个人扣2分。</w:t>
      </w:r>
    </w:p>
    <w:p>
      <w:pPr>
        <w:spacing w:line="360" w:lineRule="exact"/>
        <w:ind w:firstLine="412" w:firstLineChars="200"/>
        <w:rPr>
          <w:rFonts w:hint="eastAsia" w:ascii="宋体" w:hAnsi="宋体"/>
          <w:sz w:val="21"/>
          <w:szCs w:val="21"/>
        </w:rPr>
      </w:pPr>
    </w:p>
    <w:p>
      <w:pPr>
        <w:spacing w:line="360" w:lineRule="exact"/>
        <w:ind w:firstLine="412" w:firstLineChars="200"/>
        <w:rPr>
          <w:rFonts w:hint="eastAsia" w:ascii="宋体" w:hAnsi="宋体"/>
          <w:sz w:val="21"/>
          <w:szCs w:val="21"/>
        </w:rPr>
      </w:pPr>
      <w:r>
        <w:rPr>
          <w:rFonts w:hint="eastAsia" w:ascii="宋体" w:hAnsi="宋体"/>
          <w:sz w:val="21"/>
          <w:szCs w:val="21"/>
        </w:rPr>
        <w:t>四、操作方法</w:t>
      </w:r>
    </w:p>
    <w:p>
      <w:pPr>
        <w:spacing w:line="360" w:lineRule="exact"/>
        <w:ind w:firstLine="412" w:firstLineChars="200"/>
        <w:rPr>
          <w:rFonts w:hint="eastAsia" w:ascii="宋体" w:hAnsi="宋体"/>
          <w:sz w:val="21"/>
          <w:szCs w:val="21"/>
        </w:rPr>
      </w:pPr>
      <w:r>
        <w:rPr>
          <w:rFonts w:hint="eastAsia" w:ascii="宋体" w:hAnsi="宋体"/>
          <w:sz w:val="21"/>
          <w:szCs w:val="21"/>
        </w:rPr>
        <w:t xml:space="preserve">1、测评工作每学年进行一次，以专业、年级为单位进行。   </w:t>
      </w:r>
    </w:p>
    <w:p>
      <w:pPr>
        <w:spacing w:line="360" w:lineRule="exact"/>
        <w:ind w:firstLine="412" w:firstLineChars="200"/>
        <w:rPr>
          <w:rFonts w:hint="eastAsia" w:ascii="宋体" w:hAnsi="宋体"/>
          <w:sz w:val="21"/>
          <w:szCs w:val="21"/>
        </w:rPr>
      </w:pPr>
      <w:r>
        <w:rPr>
          <w:rFonts w:hint="eastAsia" w:ascii="宋体" w:hAnsi="宋体"/>
          <w:sz w:val="21"/>
          <w:szCs w:val="21"/>
        </w:rPr>
        <w:t xml:space="preserve">2、测评工作由学院统一部署，各班级具体负责实施。   </w:t>
      </w:r>
    </w:p>
    <w:p>
      <w:pPr>
        <w:spacing w:line="360" w:lineRule="exact"/>
        <w:ind w:firstLine="412" w:firstLineChars="200"/>
        <w:rPr>
          <w:rFonts w:hint="eastAsia" w:ascii="宋体" w:hAnsi="宋体"/>
          <w:sz w:val="21"/>
          <w:szCs w:val="21"/>
        </w:rPr>
      </w:pPr>
      <w:r>
        <w:rPr>
          <w:rFonts w:hint="eastAsia" w:ascii="宋体" w:hAnsi="宋体"/>
          <w:sz w:val="21"/>
          <w:szCs w:val="21"/>
        </w:rPr>
        <w:t>3、各班成立测评小组，成员由全班同学民主推荐产生，人数为班级人数25%，测评小组中学生干部比例不得超过50%，班主任为小组组长，参与并指导测评全过程。</w:t>
      </w:r>
    </w:p>
    <w:p>
      <w:pPr>
        <w:spacing w:line="360" w:lineRule="exact"/>
        <w:ind w:firstLine="412" w:firstLineChars="200"/>
        <w:rPr>
          <w:rFonts w:hint="eastAsia" w:ascii="宋体" w:hAnsi="宋体"/>
          <w:sz w:val="21"/>
          <w:szCs w:val="21"/>
        </w:rPr>
      </w:pPr>
      <w:r>
        <w:rPr>
          <w:rFonts w:hint="eastAsia" w:ascii="宋体" w:hAnsi="宋体"/>
          <w:sz w:val="21"/>
          <w:szCs w:val="21"/>
        </w:rPr>
        <w:t>4、每位同学对照测评指标，实事求是地自我测评，将奖惩明细材料递交测评小组，同时要求提供获奖证书原件；测评学年受到处分以及有违纪情况的同学需如实填写上报，否则按所受处罚加倍罚分。同一项内容仅就高加分。</w:t>
      </w:r>
    </w:p>
    <w:p>
      <w:pPr>
        <w:spacing w:line="360" w:lineRule="exact"/>
        <w:ind w:firstLine="412" w:firstLineChars="200"/>
        <w:rPr>
          <w:rFonts w:hint="eastAsia" w:ascii="宋体" w:hAnsi="宋体"/>
          <w:sz w:val="21"/>
          <w:szCs w:val="21"/>
        </w:rPr>
      </w:pPr>
      <w:r>
        <w:rPr>
          <w:rFonts w:hint="eastAsia" w:ascii="宋体" w:hAnsi="宋体"/>
          <w:sz w:val="21"/>
          <w:szCs w:val="21"/>
        </w:rPr>
        <w:t>5、测评小组坚持公平、公正、公开的原则，对每一位同学集体评议，对加减分项目的依据，要仔细核实并记录。评议结果及各项目加减分原因向全班公布，接受学生监督。</w:t>
      </w:r>
    </w:p>
    <w:p>
      <w:pPr>
        <w:spacing w:line="360" w:lineRule="exact"/>
        <w:ind w:firstLine="412" w:firstLineChars="200"/>
        <w:rPr>
          <w:rFonts w:ascii="宋体" w:hAnsi="宋体"/>
          <w:sz w:val="21"/>
          <w:szCs w:val="21"/>
        </w:rPr>
      </w:pPr>
      <w:r>
        <w:rPr>
          <w:rFonts w:hint="eastAsia" w:ascii="宋体" w:hAnsi="宋体"/>
          <w:sz w:val="21"/>
          <w:szCs w:val="21"/>
        </w:rPr>
        <w:t>6、若出现其他有关加减分未尽事宜，由学院综合测评领导小组商议后酌情处理。</w:t>
      </w:r>
    </w:p>
    <w:p>
      <w:pPr>
        <w:spacing w:line="360" w:lineRule="exact"/>
        <w:ind w:firstLine="412" w:firstLineChars="200"/>
        <w:rPr>
          <w:rFonts w:hint="eastAsia" w:ascii="宋体" w:hAnsi="宋体"/>
          <w:sz w:val="21"/>
          <w:szCs w:val="21"/>
        </w:rPr>
      </w:pPr>
      <w:bookmarkStart w:id="0" w:name="_GoBack"/>
      <w:bookmarkEnd w:id="0"/>
    </w:p>
    <w:p>
      <w:pPr>
        <w:spacing w:line="360" w:lineRule="exact"/>
        <w:ind w:firstLine="412" w:firstLineChars="200"/>
        <w:rPr>
          <w:rFonts w:ascii="宋体" w:hAnsi="宋体"/>
          <w:sz w:val="21"/>
          <w:szCs w:val="21"/>
        </w:rPr>
      </w:pPr>
      <w:r>
        <w:rPr>
          <w:rFonts w:hint="eastAsia" w:ascii="宋体" w:hAnsi="宋体"/>
          <w:sz w:val="21"/>
          <w:szCs w:val="21"/>
        </w:rPr>
        <w:t>五、附则</w:t>
      </w:r>
    </w:p>
    <w:p>
      <w:pPr>
        <w:spacing w:line="360" w:lineRule="exact"/>
        <w:ind w:firstLine="412" w:firstLineChars="200"/>
        <w:rPr>
          <w:rFonts w:ascii="宋体" w:hAnsi="宋体"/>
          <w:sz w:val="21"/>
          <w:szCs w:val="21"/>
        </w:rPr>
      </w:pPr>
      <w:r>
        <w:rPr>
          <w:rFonts w:hint="eastAsia" w:ascii="宋体" w:hAnsi="宋体"/>
          <w:sz w:val="21"/>
          <w:szCs w:val="21"/>
        </w:rPr>
        <w:t>1、本办法适用于我院21、22、23级全日制在籍本科生。</w:t>
      </w:r>
    </w:p>
    <w:p>
      <w:pPr>
        <w:spacing w:line="360" w:lineRule="exact"/>
        <w:ind w:firstLine="412" w:firstLineChars="200"/>
        <w:rPr>
          <w:rFonts w:hint="eastAsia" w:ascii="宋体" w:hAnsi="宋体"/>
          <w:sz w:val="21"/>
          <w:szCs w:val="21"/>
        </w:rPr>
      </w:pPr>
      <w:r>
        <w:rPr>
          <w:rFonts w:hint="eastAsia" w:ascii="宋体" w:hAnsi="宋体"/>
          <w:sz w:val="21"/>
          <w:szCs w:val="21"/>
        </w:rPr>
        <w:t>2、本办法最终解释权为商学院（管理学院）综合测评领导小组所有。</w:t>
      </w:r>
    </w:p>
    <w:p>
      <w:pPr>
        <w:spacing w:line="360" w:lineRule="exact"/>
        <w:ind w:firstLine="412" w:firstLineChars="200"/>
        <w:rPr>
          <w:rFonts w:ascii="宋体" w:hAnsi="宋体"/>
          <w:sz w:val="21"/>
          <w:szCs w:val="21"/>
        </w:rPr>
      </w:pPr>
      <w:r>
        <w:rPr>
          <w:rFonts w:hint="eastAsia" w:ascii="宋体" w:hAnsi="宋体"/>
          <w:sz w:val="21"/>
          <w:szCs w:val="21"/>
        </w:rPr>
        <w:t>3、本办法自颁布之日起施行。</w:t>
      </w:r>
    </w:p>
    <w:p>
      <w:pPr>
        <w:ind w:left="458" w:leftChars="145"/>
        <w:jc w:val="right"/>
        <w:rPr>
          <w:rFonts w:hint="eastAsia" w:ascii="宋体" w:hAnsi="宋体" w:cs="宋体"/>
          <w:sz w:val="21"/>
          <w:szCs w:val="21"/>
        </w:rPr>
      </w:pPr>
    </w:p>
    <w:p>
      <w:pPr>
        <w:ind w:left="458" w:leftChars="145"/>
        <w:jc w:val="right"/>
        <w:rPr>
          <w:rFonts w:ascii="宋体" w:hAnsi="宋体" w:cs="宋体"/>
          <w:sz w:val="21"/>
          <w:szCs w:val="21"/>
        </w:rPr>
      </w:pPr>
      <w:r>
        <w:rPr>
          <w:rFonts w:hint="eastAsia" w:ascii="宋体" w:hAnsi="宋体" w:cs="宋体"/>
          <w:sz w:val="21"/>
          <w:szCs w:val="21"/>
        </w:rPr>
        <w:t>南通大学商学院（管理学院）</w:t>
      </w:r>
    </w:p>
    <w:p>
      <w:pPr>
        <w:ind w:left="458" w:leftChars="145"/>
        <w:jc w:val="right"/>
        <w:rPr>
          <w:rFonts w:hint="eastAsia" w:ascii="楷体_GB2312" w:eastAsia="楷体_GB2312"/>
          <w:b/>
          <w:sz w:val="28"/>
          <w:szCs w:val="28"/>
        </w:rPr>
      </w:pPr>
      <w:r>
        <w:rPr>
          <w:rFonts w:hint="eastAsia" w:ascii="宋体" w:hAnsi="宋体" w:cs="宋体"/>
          <w:sz w:val="21"/>
          <w:szCs w:val="21"/>
        </w:rPr>
        <w:t>2</w:t>
      </w:r>
      <w:r>
        <w:rPr>
          <w:rFonts w:ascii="宋体" w:hAnsi="宋体" w:cs="宋体"/>
          <w:sz w:val="21"/>
          <w:szCs w:val="21"/>
        </w:rPr>
        <w:t>025</w:t>
      </w:r>
      <w:r>
        <w:rPr>
          <w:rFonts w:hint="eastAsia" w:ascii="宋体" w:hAnsi="宋体" w:cs="宋体"/>
          <w:sz w:val="21"/>
          <w:szCs w:val="21"/>
        </w:rPr>
        <w:t>年</w:t>
      </w:r>
      <w:r>
        <w:rPr>
          <w:rFonts w:ascii="宋体" w:hAnsi="宋体" w:cs="宋体"/>
          <w:sz w:val="21"/>
          <w:szCs w:val="21"/>
        </w:rPr>
        <w:t>03</w:t>
      </w:r>
      <w:r>
        <w:rPr>
          <w:rFonts w:hint="eastAsia" w:ascii="宋体" w:hAnsi="宋体" w:cs="宋体"/>
          <w:sz w:val="21"/>
          <w:szCs w:val="21"/>
        </w:rPr>
        <w:t>月</w:t>
      </w:r>
      <w:r>
        <w:rPr>
          <w:rFonts w:ascii="宋体" w:hAnsi="宋体" w:cs="宋体"/>
          <w:sz w:val="21"/>
          <w:szCs w:val="21"/>
        </w:rPr>
        <w:t>14</w:t>
      </w:r>
      <w:r>
        <w:rPr>
          <w:rFonts w:hint="eastAsia" w:ascii="宋体" w:hAnsi="宋体" w:cs="宋体"/>
          <w:sz w:val="21"/>
          <w:szCs w:val="21"/>
        </w:rPr>
        <w:t>日</w:t>
      </w:r>
    </w:p>
    <w:p>
      <w:pPr>
        <w:tabs>
          <w:tab w:val="left" w:pos="2310"/>
          <w:tab w:val="left" w:pos="6510"/>
        </w:tabs>
        <w:rPr>
          <w:rFonts w:ascii="仿宋_GB2312" w:eastAsia="仿宋_GB2312"/>
          <w:sz w:val="28"/>
          <w:szCs w:val="28"/>
        </w:rPr>
      </w:pPr>
    </w:p>
    <w:sectPr>
      <w:footerReference r:id="rId3" w:type="default"/>
      <w:footerReference r:id="rId4" w:type="even"/>
      <w:pgSz w:w="11906" w:h="16838"/>
      <w:pgMar w:top="1814" w:right="1474" w:bottom="1871" w:left="1588" w:header="851" w:footer="113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imes New Roman" w:hAnsi="Times New Roman"/>
        <w:sz w:val="28"/>
      </w:rPr>
    </w:pPr>
    <w:r>
      <w:rPr>
        <w:rFonts w:ascii="Times New Roman" w:hAnsi="Times New Roman"/>
        <w:kern w:val="0"/>
        <w:sz w:val="28"/>
        <w:szCs w:val="21"/>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5</w:t>
    </w:r>
    <w:r>
      <w:rPr>
        <w:rFonts w:ascii="Times New Roman" w:hAnsi="Times New Roman"/>
        <w:kern w:val="0"/>
        <w:sz w:val="28"/>
        <w:szCs w:val="28"/>
      </w:rPr>
      <w:fldChar w:fldCharType="end"/>
    </w:r>
    <w:r>
      <w:rPr>
        <w:rFonts w:ascii="Times New Roman" w:hAnsi="Times New Roman"/>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sz w:val="28"/>
      </w:rPr>
    </w:pPr>
    <w:r>
      <w:rPr>
        <w:rFonts w:ascii="Times New Roman" w:hAnsi="Times New Roman"/>
        <w:kern w:val="0"/>
        <w:sz w:val="28"/>
        <w:szCs w:val="21"/>
      </w:rPr>
      <w:t xml:space="preserve">- </w:t>
    </w:r>
    <w:r>
      <w:rPr>
        <w:rFonts w:ascii="Times New Roman" w:hAnsi="Times New Roman"/>
        <w:kern w:val="0"/>
        <w:sz w:val="28"/>
        <w:szCs w:val="21"/>
      </w:rPr>
      <w:fldChar w:fldCharType="begin"/>
    </w:r>
    <w:r>
      <w:rPr>
        <w:rFonts w:ascii="Times New Roman" w:hAnsi="Times New Roman"/>
        <w:kern w:val="0"/>
        <w:sz w:val="28"/>
        <w:szCs w:val="21"/>
      </w:rPr>
      <w:instrText xml:space="preserve"> PAGE </w:instrText>
    </w:r>
    <w:r>
      <w:rPr>
        <w:rFonts w:ascii="Times New Roman" w:hAnsi="Times New Roman"/>
        <w:kern w:val="0"/>
        <w:sz w:val="28"/>
        <w:szCs w:val="21"/>
      </w:rPr>
      <w:fldChar w:fldCharType="separate"/>
    </w:r>
    <w:r>
      <w:rPr>
        <w:rFonts w:ascii="Times New Roman" w:hAnsi="Times New Roman"/>
        <w:kern w:val="0"/>
        <w:sz w:val="28"/>
        <w:szCs w:val="21"/>
      </w:rPr>
      <w:t>4</w:t>
    </w:r>
    <w:r>
      <w:rPr>
        <w:rFonts w:ascii="Times New Roman" w:hAnsi="Times New Roman"/>
        <w:kern w:val="0"/>
        <w:sz w:val="28"/>
        <w:szCs w:val="21"/>
      </w:rPr>
      <w:fldChar w:fldCharType="end"/>
    </w:r>
    <w:r>
      <w:rPr>
        <w:rFonts w:ascii="Times New Roman" w:hAnsi="Times New Roman"/>
        <w:kern w:val="0"/>
        <w:sz w:val="28"/>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12A40"/>
    <w:multiLevelType w:val="singleLevel"/>
    <w:tmpl w:val="C3C12A40"/>
    <w:lvl w:ilvl="0" w:tentative="0">
      <w:start w:val="3"/>
      <w:numFmt w:val="decimal"/>
      <w:suff w:val="nothing"/>
      <w:lvlText w:val="%1、"/>
      <w:lvlJc w:val="left"/>
    </w:lvl>
  </w:abstractNum>
  <w:abstractNum w:abstractNumId="1">
    <w:nsid w:val="31BE03DF"/>
    <w:multiLevelType w:val="multilevel"/>
    <w:tmpl w:val="31BE03DF"/>
    <w:lvl w:ilvl="0" w:tentative="0">
      <w:start w:val="1"/>
      <w:numFmt w:val="decimal"/>
      <w:lvlText w:val="%1、"/>
      <w:lvlJc w:val="left"/>
      <w:pPr>
        <w:ind w:left="821" w:hanging="315"/>
      </w:pPr>
      <w:rPr>
        <w:rFonts w:hint="default"/>
      </w:rPr>
    </w:lvl>
    <w:lvl w:ilvl="1" w:tentative="0">
      <w:start w:val="1"/>
      <w:numFmt w:val="lowerLetter"/>
      <w:lvlText w:val="%2)"/>
      <w:lvlJc w:val="left"/>
      <w:pPr>
        <w:ind w:left="1346" w:hanging="420"/>
      </w:pPr>
    </w:lvl>
    <w:lvl w:ilvl="2" w:tentative="0">
      <w:start w:val="1"/>
      <w:numFmt w:val="lowerRoman"/>
      <w:lvlText w:val="%3."/>
      <w:lvlJc w:val="right"/>
      <w:pPr>
        <w:ind w:left="1766" w:hanging="420"/>
      </w:pPr>
    </w:lvl>
    <w:lvl w:ilvl="3" w:tentative="0">
      <w:start w:val="1"/>
      <w:numFmt w:val="decimal"/>
      <w:lvlText w:val="%4."/>
      <w:lvlJc w:val="left"/>
      <w:pPr>
        <w:ind w:left="2186" w:hanging="420"/>
      </w:pPr>
    </w:lvl>
    <w:lvl w:ilvl="4" w:tentative="0">
      <w:start w:val="1"/>
      <w:numFmt w:val="lowerLetter"/>
      <w:lvlText w:val="%5)"/>
      <w:lvlJc w:val="left"/>
      <w:pPr>
        <w:ind w:left="2606" w:hanging="420"/>
      </w:pPr>
    </w:lvl>
    <w:lvl w:ilvl="5" w:tentative="0">
      <w:start w:val="1"/>
      <w:numFmt w:val="lowerRoman"/>
      <w:lvlText w:val="%6."/>
      <w:lvlJc w:val="right"/>
      <w:pPr>
        <w:ind w:left="3026" w:hanging="420"/>
      </w:pPr>
    </w:lvl>
    <w:lvl w:ilvl="6" w:tentative="0">
      <w:start w:val="1"/>
      <w:numFmt w:val="decimal"/>
      <w:lvlText w:val="%7."/>
      <w:lvlJc w:val="left"/>
      <w:pPr>
        <w:ind w:left="3446" w:hanging="420"/>
      </w:pPr>
    </w:lvl>
    <w:lvl w:ilvl="7" w:tentative="0">
      <w:start w:val="1"/>
      <w:numFmt w:val="lowerLetter"/>
      <w:lvlText w:val="%8)"/>
      <w:lvlJc w:val="left"/>
      <w:pPr>
        <w:ind w:left="3866" w:hanging="420"/>
      </w:pPr>
    </w:lvl>
    <w:lvl w:ilvl="8" w:tentative="0">
      <w:start w:val="1"/>
      <w:numFmt w:val="lowerRoman"/>
      <w:lvlText w:val="%9."/>
      <w:lvlJc w:val="right"/>
      <w:pPr>
        <w:ind w:left="428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NmU2MTNmMmNlNWQzMGNlNTBlYWQxODEzNmEyNjcifQ=="/>
  </w:docVars>
  <w:rsids>
    <w:rsidRoot w:val="00421ED5"/>
    <w:rsid w:val="000309B3"/>
    <w:rsid w:val="0003152F"/>
    <w:rsid w:val="00034BFB"/>
    <w:rsid w:val="00041B95"/>
    <w:rsid w:val="00051E26"/>
    <w:rsid w:val="00066BC1"/>
    <w:rsid w:val="00070C1E"/>
    <w:rsid w:val="00072624"/>
    <w:rsid w:val="00095020"/>
    <w:rsid w:val="000B1AFA"/>
    <w:rsid w:val="000C3C0A"/>
    <w:rsid w:val="000D06DD"/>
    <w:rsid w:val="000E2A6B"/>
    <w:rsid w:val="000E701D"/>
    <w:rsid w:val="00113C24"/>
    <w:rsid w:val="001377EC"/>
    <w:rsid w:val="00154036"/>
    <w:rsid w:val="00165592"/>
    <w:rsid w:val="00195ECA"/>
    <w:rsid w:val="001B315E"/>
    <w:rsid w:val="001B3A81"/>
    <w:rsid w:val="001B5EF8"/>
    <w:rsid w:val="001C196F"/>
    <w:rsid w:val="001D3F80"/>
    <w:rsid w:val="001E1435"/>
    <w:rsid w:val="0022572F"/>
    <w:rsid w:val="002468F9"/>
    <w:rsid w:val="00251C82"/>
    <w:rsid w:val="00256069"/>
    <w:rsid w:val="002632B5"/>
    <w:rsid w:val="002805E7"/>
    <w:rsid w:val="00294A12"/>
    <w:rsid w:val="002A17CB"/>
    <w:rsid w:val="002A580F"/>
    <w:rsid w:val="002B36EA"/>
    <w:rsid w:val="002C039F"/>
    <w:rsid w:val="002C0D8F"/>
    <w:rsid w:val="002C4DAD"/>
    <w:rsid w:val="002D199D"/>
    <w:rsid w:val="002D6988"/>
    <w:rsid w:val="002E7946"/>
    <w:rsid w:val="0031086F"/>
    <w:rsid w:val="0031782D"/>
    <w:rsid w:val="00322136"/>
    <w:rsid w:val="003223D2"/>
    <w:rsid w:val="00326D95"/>
    <w:rsid w:val="003370F6"/>
    <w:rsid w:val="00345A8D"/>
    <w:rsid w:val="00346D90"/>
    <w:rsid w:val="00347508"/>
    <w:rsid w:val="00376DB8"/>
    <w:rsid w:val="0038355E"/>
    <w:rsid w:val="00396131"/>
    <w:rsid w:val="003A5870"/>
    <w:rsid w:val="003C1F01"/>
    <w:rsid w:val="003E499A"/>
    <w:rsid w:val="00404DCE"/>
    <w:rsid w:val="00412EF9"/>
    <w:rsid w:val="004213D2"/>
    <w:rsid w:val="00421ED5"/>
    <w:rsid w:val="004339F4"/>
    <w:rsid w:val="004437BC"/>
    <w:rsid w:val="00471520"/>
    <w:rsid w:val="00473717"/>
    <w:rsid w:val="004850BA"/>
    <w:rsid w:val="004850BE"/>
    <w:rsid w:val="0049197C"/>
    <w:rsid w:val="004956C5"/>
    <w:rsid w:val="00496183"/>
    <w:rsid w:val="00496D4D"/>
    <w:rsid w:val="004A0553"/>
    <w:rsid w:val="004A4E7F"/>
    <w:rsid w:val="004C148E"/>
    <w:rsid w:val="004E042F"/>
    <w:rsid w:val="00506837"/>
    <w:rsid w:val="00533795"/>
    <w:rsid w:val="00541B0B"/>
    <w:rsid w:val="00551E9F"/>
    <w:rsid w:val="00553236"/>
    <w:rsid w:val="0056440C"/>
    <w:rsid w:val="005709B2"/>
    <w:rsid w:val="00570EDA"/>
    <w:rsid w:val="005A6DAF"/>
    <w:rsid w:val="005D6A60"/>
    <w:rsid w:val="005D6F06"/>
    <w:rsid w:val="005E24CA"/>
    <w:rsid w:val="005E7491"/>
    <w:rsid w:val="006074AF"/>
    <w:rsid w:val="00627F3B"/>
    <w:rsid w:val="0064029E"/>
    <w:rsid w:val="0066271C"/>
    <w:rsid w:val="00667839"/>
    <w:rsid w:val="00682407"/>
    <w:rsid w:val="006912AF"/>
    <w:rsid w:val="006A0D8F"/>
    <w:rsid w:val="006A68CC"/>
    <w:rsid w:val="006B0FAF"/>
    <w:rsid w:val="006C075A"/>
    <w:rsid w:val="006C7B74"/>
    <w:rsid w:val="006F4EF2"/>
    <w:rsid w:val="006F7EA8"/>
    <w:rsid w:val="007060F0"/>
    <w:rsid w:val="007169E5"/>
    <w:rsid w:val="007254D7"/>
    <w:rsid w:val="0073507D"/>
    <w:rsid w:val="00735EBC"/>
    <w:rsid w:val="00770367"/>
    <w:rsid w:val="00795FA2"/>
    <w:rsid w:val="007B063E"/>
    <w:rsid w:val="007C06C0"/>
    <w:rsid w:val="007C29D1"/>
    <w:rsid w:val="007F303F"/>
    <w:rsid w:val="007F6533"/>
    <w:rsid w:val="00804B1C"/>
    <w:rsid w:val="00823C84"/>
    <w:rsid w:val="0082709F"/>
    <w:rsid w:val="0083202B"/>
    <w:rsid w:val="008578ED"/>
    <w:rsid w:val="00860CED"/>
    <w:rsid w:val="00873EA2"/>
    <w:rsid w:val="00886132"/>
    <w:rsid w:val="008918AA"/>
    <w:rsid w:val="008A0C95"/>
    <w:rsid w:val="008A2C4F"/>
    <w:rsid w:val="008A78C3"/>
    <w:rsid w:val="008F75CF"/>
    <w:rsid w:val="00910C90"/>
    <w:rsid w:val="009117BB"/>
    <w:rsid w:val="009168A4"/>
    <w:rsid w:val="00921F82"/>
    <w:rsid w:val="009228C7"/>
    <w:rsid w:val="009350A4"/>
    <w:rsid w:val="009547B8"/>
    <w:rsid w:val="00960C2F"/>
    <w:rsid w:val="00973540"/>
    <w:rsid w:val="00976C2E"/>
    <w:rsid w:val="00986598"/>
    <w:rsid w:val="00986B51"/>
    <w:rsid w:val="00996A2D"/>
    <w:rsid w:val="009A4EAD"/>
    <w:rsid w:val="009A5362"/>
    <w:rsid w:val="009C3B94"/>
    <w:rsid w:val="009D54E9"/>
    <w:rsid w:val="009E44A7"/>
    <w:rsid w:val="009F4D39"/>
    <w:rsid w:val="00A04BD8"/>
    <w:rsid w:val="00A1282A"/>
    <w:rsid w:val="00A21DDD"/>
    <w:rsid w:val="00A40D3E"/>
    <w:rsid w:val="00A45654"/>
    <w:rsid w:val="00A5448A"/>
    <w:rsid w:val="00A572C5"/>
    <w:rsid w:val="00A61F8F"/>
    <w:rsid w:val="00A67526"/>
    <w:rsid w:val="00A70AC2"/>
    <w:rsid w:val="00A87DAD"/>
    <w:rsid w:val="00A92264"/>
    <w:rsid w:val="00AA0986"/>
    <w:rsid w:val="00AC7C88"/>
    <w:rsid w:val="00AD4843"/>
    <w:rsid w:val="00AE3509"/>
    <w:rsid w:val="00AE4988"/>
    <w:rsid w:val="00AF1003"/>
    <w:rsid w:val="00AF54E1"/>
    <w:rsid w:val="00AF58BF"/>
    <w:rsid w:val="00B1327C"/>
    <w:rsid w:val="00B14505"/>
    <w:rsid w:val="00B42A52"/>
    <w:rsid w:val="00B6235C"/>
    <w:rsid w:val="00B92E12"/>
    <w:rsid w:val="00B930D8"/>
    <w:rsid w:val="00B96D1A"/>
    <w:rsid w:val="00BA2794"/>
    <w:rsid w:val="00BC15B3"/>
    <w:rsid w:val="00BC30F1"/>
    <w:rsid w:val="00BC3F9C"/>
    <w:rsid w:val="00BE06DD"/>
    <w:rsid w:val="00BE141D"/>
    <w:rsid w:val="00C00C8A"/>
    <w:rsid w:val="00C03BC8"/>
    <w:rsid w:val="00C16EC6"/>
    <w:rsid w:val="00C2255A"/>
    <w:rsid w:val="00C3049E"/>
    <w:rsid w:val="00C37CF3"/>
    <w:rsid w:val="00C47B6B"/>
    <w:rsid w:val="00C52890"/>
    <w:rsid w:val="00C52DF7"/>
    <w:rsid w:val="00C72EA5"/>
    <w:rsid w:val="00C76EF9"/>
    <w:rsid w:val="00C7792E"/>
    <w:rsid w:val="00C77B25"/>
    <w:rsid w:val="00C84361"/>
    <w:rsid w:val="00C9496B"/>
    <w:rsid w:val="00CA0CB8"/>
    <w:rsid w:val="00CA5EC9"/>
    <w:rsid w:val="00CB0FE0"/>
    <w:rsid w:val="00CC76CA"/>
    <w:rsid w:val="00CE29B3"/>
    <w:rsid w:val="00D047DA"/>
    <w:rsid w:val="00D149E8"/>
    <w:rsid w:val="00D1785D"/>
    <w:rsid w:val="00D22B54"/>
    <w:rsid w:val="00D244C5"/>
    <w:rsid w:val="00D545E0"/>
    <w:rsid w:val="00D547E2"/>
    <w:rsid w:val="00D55C82"/>
    <w:rsid w:val="00D62BE4"/>
    <w:rsid w:val="00D67718"/>
    <w:rsid w:val="00D75E11"/>
    <w:rsid w:val="00D77A1D"/>
    <w:rsid w:val="00D80E96"/>
    <w:rsid w:val="00D83A49"/>
    <w:rsid w:val="00D87FD4"/>
    <w:rsid w:val="00DC5467"/>
    <w:rsid w:val="00DD4057"/>
    <w:rsid w:val="00DD42AD"/>
    <w:rsid w:val="00DD4A9B"/>
    <w:rsid w:val="00E054F7"/>
    <w:rsid w:val="00E4532E"/>
    <w:rsid w:val="00E56EAD"/>
    <w:rsid w:val="00E678E0"/>
    <w:rsid w:val="00E8404D"/>
    <w:rsid w:val="00E8721F"/>
    <w:rsid w:val="00ED5D8F"/>
    <w:rsid w:val="00EE5FB5"/>
    <w:rsid w:val="00EF1F8C"/>
    <w:rsid w:val="00EF78CA"/>
    <w:rsid w:val="00F04692"/>
    <w:rsid w:val="00F376B1"/>
    <w:rsid w:val="00F57D30"/>
    <w:rsid w:val="00F62938"/>
    <w:rsid w:val="00F8127D"/>
    <w:rsid w:val="00F875AD"/>
    <w:rsid w:val="00F95D78"/>
    <w:rsid w:val="00FC4E37"/>
    <w:rsid w:val="00FD1C98"/>
    <w:rsid w:val="00FD361E"/>
    <w:rsid w:val="00FF1CD7"/>
    <w:rsid w:val="00FF6A3E"/>
    <w:rsid w:val="020F58DE"/>
    <w:rsid w:val="07A32B23"/>
    <w:rsid w:val="08781F07"/>
    <w:rsid w:val="08E92479"/>
    <w:rsid w:val="0B4374C1"/>
    <w:rsid w:val="0D47201F"/>
    <w:rsid w:val="10045BDC"/>
    <w:rsid w:val="10435CDE"/>
    <w:rsid w:val="10F9002C"/>
    <w:rsid w:val="138228A6"/>
    <w:rsid w:val="1BDE2589"/>
    <w:rsid w:val="1D9B4C90"/>
    <w:rsid w:val="1EA23447"/>
    <w:rsid w:val="1F220451"/>
    <w:rsid w:val="21044B63"/>
    <w:rsid w:val="2BAC387E"/>
    <w:rsid w:val="414D6E97"/>
    <w:rsid w:val="468305D0"/>
    <w:rsid w:val="490877B4"/>
    <w:rsid w:val="4AD93E52"/>
    <w:rsid w:val="4E683DFA"/>
    <w:rsid w:val="4E7C132A"/>
    <w:rsid w:val="4F2F2663"/>
    <w:rsid w:val="527D7482"/>
    <w:rsid w:val="52F45918"/>
    <w:rsid w:val="588D4BFA"/>
    <w:rsid w:val="5ADF54B5"/>
    <w:rsid w:val="63D57E9B"/>
    <w:rsid w:val="67296AEE"/>
    <w:rsid w:val="68103152"/>
    <w:rsid w:val="68C4021E"/>
    <w:rsid w:val="6A500618"/>
    <w:rsid w:val="79BC6C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aramond" w:hAnsi="Garamond"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Garamond" w:hAnsi="Garamond" w:eastAsia="宋体" w:cs="Times New Roman"/>
      <w:kern w:val="2"/>
      <w:sz w:val="32"/>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60" w:lineRule="auto"/>
    </w:pPr>
    <w:rPr>
      <w:rFonts w:ascii="Times New Roman" w:hAnsi="Times New Roman"/>
      <w:b/>
      <w:bCs/>
      <w:szCs w:val="24"/>
    </w:rPr>
  </w:style>
  <w:style w:type="paragraph" w:styleId="3">
    <w:name w:val="Body Text Indent"/>
    <w:basedOn w:val="1"/>
    <w:uiPriority w:val="0"/>
    <w:pPr>
      <w:spacing w:line="560" w:lineRule="exact"/>
      <w:ind w:firstLine="640" w:firstLineChars="200"/>
    </w:pPr>
    <w:rPr>
      <w:rFonts w:ascii="仿宋_GB2312" w:hAnsi="Times New Roman" w:eastAsia="仿宋_GB2312"/>
      <w:szCs w:val="24"/>
    </w:rPr>
  </w:style>
  <w:style w:type="paragraph" w:styleId="4">
    <w:name w:val="Date"/>
    <w:basedOn w:val="1"/>
    <w:next w:val="1"/>
    <w:uiPriority w:val="0"/>
    <w:rPr>
      <w:rFonts w:ascii="Times New Roman" w:hAnsi="Times New Roman" w:eastAsia="仿宋_GB2312"/>
      <w:sz w:val="28"/>
    </w:rPr>
  </w:style>
  <w:style w:type="paragraph" w:styleId="5">
    <w:name w:val="Body Text Indent 2"/>
    <w:basedOn w:val="1"/>
    <w:uiPriority w:val="0"/>
    <w:pPr>
      <w:spacing w:after="120" w:line="480" w:lineRule="auto"/>
      <w:ind w:left="420" w:leftChars="200"/>
    </w:pPr>
  </w:style>
  <w:style w:type="paragraph" w:styleId="6">
    <w:name w:val="Balloon Text"/>
    <w:basedOn w:val="1"/>
    <w:link w:val="15"/>
    <w:uiPriority w:val="0"/>
    <w:rPr>
      <w:sz w:val="18"/>
      <w:szCs w:val="18"/>
    </w:rPr>
  </w:style>
  <w:style w:type="paragraph" w:styleId="7">
    <w:name w:val="footer"/>
    <w:basedOn w:val="1"/>
    <w:link w:val="13"/>
    <w:uiPriority w:val="99"/>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字符"/>
    <w:link w:val="7"/>
    <w:uiPriority w:val="99"/>
    <w:rPr>
      <w:kern w:val="2"/>
      <w:sz w:val="18"/>
      <w:szCs w:val="18"/>
    </w:rPr>
  </w:style>
  <w:style w:type="paragraph" w:styleId="14">
    <w:name w:val="List Paragraph"/>
    <w:basedOn w:val="1"/>
    <w:qFormat/>
    <w:uiPriority w:val="34"/>
    <w:pPr>
      <w:ind w:firstLine="420" w:firstLineChars="200"/>
    </w:pPr>
    <w:rPr>
      <w:rFonts w:ascii="Times New Roman" w:hAnsi="Times New Roman"/>
      <w:sz w:val="21"/>
      <w:szCs w:val="24"/>
    </w:rPr>
  </w:style>
  <w:style w:type="character" w:customStyle="1" w:styleId="15">
    <w:name w:val="批注框文本 字符"/>
    <w:link w:val="6"/>
    <w:uiPriority w:val="0"/>
    <w:rPr>
      <w:kern w:val="2"/>
      <w:sz w:val="18"/>
      <w:szCs w:val="18"/>
    </w:rPr>
  </w:style>
  <w:style w:type="table" w:customStyle="1" w:styleId="16">
    <w:name w:val="Table Normal"/>
    <w:semiHidden/>
    <w:unhideWhenUsed/>
    <w:qFormat/>
    <w:uiPriority w:val="0"/>
    <w:rPr>
      <w:rFonts w:ascii="Calibri" w:hAnsi="Calibri"/>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10</Pages>
  <Words>1056</Words>
  <Characters>6021</Characters>
  <Lines>50</Lines>
  <Paragraphs>14</Paragraphs>
  <TotalTime>0</TotalTime>
  <ScaleCrop>false</ScaleCrop>
  <LinksUpToDate>false</LinksUpToDate>
  <CharactersWithSpaces>7063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2006-10-11T07:41:00Z</dcterms:created>
  <dc:creator>姜平</dc:creator>
  <cp:lastModifiedBy>V</cp:lastModifiedBy>
  <cp:lastPrinted>2023-10-16T06:30:00Z</cp:lastPrinted>
  <dcterms:modified xsi:type="dcterms:W3CDTF">2025-03-14T07:11:08Z</dcterms:modified>
  <dc:title>                                             </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6AF6AE00E9DA4E78A318974A596907DA_13</vt:lpwstr>
  </property>
</Properties>
</file>